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3A0669" w14:textId="0B2A3DDA" w:rsidR="00F82882" w:rsidRDefault="00F82882" w:rsidP="00781896">
      <w:pPr>
        <w:spacing w:line="480" w:lineRule="auto"/>
        <w:rPr>
          <w:rFonts w:ascii="Times New Roman" w:hAnsi="Times New Roman" w:cs="Times New Roman"/>
        </w:rPr>
      </w:pPr>
    </w:p>
    <w:p w14:paraId="6E939DC6" w14:textId="30189D02" w:rsidR="00781896" w:rsidRDefault="00781896" w:rsidP="00781896">
      <w:pPr>
        <w:spacing w:line="480" w:lineRule="auto"/>
        <w:rPr>
          <w:rFonts w:ascii="Times New Roman" w:hAnsi="Times New Roman" w:cs="Times New Roman"/>
        </w:rPr>
      </w:pPr>
    </w:p>
    <w:p w14:paraId="3B4C14BE" w14:textId="70C48DA5" w:rsidR="00781896" w:rsidRDefault="00781896" w:rsidP="00781896">
      <w:pPr>
        <w:spacing w:line="480" w:lineRule="auto"/>
        <w:rPr>
          <w:rFonts w:ascii="Times New Roman" w:hAnsi="Times New Roman" w:cs="Times New Roman"/>
        </w:rPr>
      </w:pPr>
    </w:p>
    <w:p w14:paraId="3F7ADDDD" w14:textId="679E48EA" w:rsidR="00781896" w:rsidRDefault="00781896" w:rsidP="00781896">
      <w:pPr>
        <w:spacing w:line="480" w:lineRule="auto"/>
        <w:rPr>
          <w:rFonts w:ascii="Times New Roman" w:hAnsi="Times New Roman" w:cs="Times New Roman"/>
        </w:rPr>
      </w:pPr>
    </w:p>
    <w:p w14:paraId="3E602CD9" w14:textId="0AA553A2" w:rsidR="00781896" w:rsidRDefault="00781896" w:rsidP="00781896">
      <w:pPr>
        <w:spacing w:line="480" w:lineRule="auto"/>
        <w:rPr>
          <w:rFonts w:ascii="Times New Roman" w:hAnsi="Times New Roman" w:cs="Times New Roman"/>
        </w:rPr>
      </w:pPr>
    </w:p>
    <w:p w14:paraId="03861651" w14:textId="4A12D833" w:rsidR="00781896" w:rsidRDefault="00781896" w:rsidP="00781896">
      <w:pPr>
        <w:spacing w:line="480" w:lineRule="auto"/>
        <w:rPr>
          <w:rFonts w:ascii="Times New Roman" w:hAnsi="Times New Roman" w:cs="Times New Roman"/>
        </w:rPr>
      </w:pPr>
    </w:p>
    <w:p w14:paraId="4FFCEDE6" w14:textId="6734BA1B" w:rsidR="00781896" w:rsidRDefault="00781896" w:rsidP="00781896">
      <w:pPr>
        <w:spacing w:line="480" w:lineRule="auto"/>
        <w:jc w:val="center"/>
        <w:rPr>
          <w:rFonts w:ascii="Times New Roman" w:hAnsi="Times New Roman" w:cs="Times New Roman"/>
        </w:rPr>
      </w:pPr>
      <w:r>
        <w:rPr>
          <w:rFonts w:ascii="Times New Roman" w:hAnsi="Times New Roman" w:cs="Times New Roman"/>
        </w:rPr>
        <w:t>Final Project</w:t>
      </w:r>
    </w:p>
    <w:p w14:paraId="6CD48788" w14:textId="6C4B3BF5" w:rsidR="00650144" w:rsidRDefault="00650144" w:rsidP="00781896">
      <w:pPr>
        <w:spacing w:line="480" w:lineRule="auto"/>
        <w:jc w:val="center"/>
        <w:rPr>
          <w:rFonts w:ascii="Times New Roman" w:hAnsi="Times New Roman" w:cs="Times New Roman"/>
        </w:rPr>
      </w:pPr>
      <w:r>
        <w:rPr>
          <w:rFonts w:ascii="Times New Roman" w:hAnsi="Times New Roman" w:cs="Times New Roman"/>
        </w:rPr>
        <w:t>The Cognitive Science of Teaching and Learning</w:t>
      </w:r>
    </w:p>
    <w:p w14:paraId="6074A681" w14:textId="4C66E55F" w:rsidR="00781896" w:rsidRDefault="00781896" w:rsidP="00781896">
      <w:pPr>
        <w:spacing w:line="480" w:lineRule="auto"/>
        <w:jc w:val="center"/>
        <w:rPr>
          <w:rFonts w:ascii="Times New Roman" w:hAnsi="Times New Roman" w:cs="Times New Roman"/>
        </w:rPr>
      </w:pPr>
      <w:r>
        <w:rPr>
          <w:rFonts w:ascii="Times New Roman" w:hAnsi="Times New Roman" w:cs="Times New Roman"/>
        </w:rPr>
        <w:t>Tracy Collamore</w:t>
      </w:r>
    </w:p>
    <w:p w14:paraId="227A3B11" w14:textId="41897BF9" w:rsidR="00781896" w:rsidRDefault="00781896" w:rsidP="00781896">
      <w:pPr>
        <w:spacing w:line="480" w:lineRule="auto"/>
        <w:jc w:val="center"/>
        <w:rPr>
          <w:rFonts w:ascii="Times New Roman" w:hAnsi="Times New Roman" w:cs="Times New Roman"/>
        </w:rPr>
      </w:pPr>
      <w:r>
        <w:rPr>
          <w:rFonts w:ascii="Times New Roman" w:hAnsi="Times New Roman" w:cs="Times New Roman"/>
        </w:rPr>
        <w:t>Post University</w:t>
      </w:r>
    </w:p>
    <w:p w14:paraId="5265E642" w14:textId="2A3F53E9" w:rsidR="00781896" w:rsidRDefault="00781896" w:rsidP="00781896">
      <w:pPr>
        <w:spacing w:line="480" w:lineRule="auto"/>
        <w:rPr>
          <w:rFonts w:ascii="Times New Roman" w:hAnsi="Times New Roman" w:cs="Times New Roman"/>
        </w:rPr>
      </w:pPr>
    </w:p>
    <w:p w14:paraId="5A82D4A1" w14:textId="68240D29" w:rsidR="00781896" w:rsidRDefault="00781896">
      <w:pPr>
        <w:rPr>
          <w:rFonts w:ascii="Times New Roman" w:hAnsi="Times New Roman" w:cs="Times New Roman"/>
        </w:rPr>
      </w:pPr>
      <w:r>
        <w:rPr>
          <w:rFonts w:ascii="Times New Roman" w:hAnsi="Times New Roman" w:cs="Times New Roman"/>
        </w:rPr>
        <w:br w:type="page"/>
      </w:r>
    </w:p>
    <w:p w14:paraId="4A19D495" w14:textId="645B06FB" w:rsidR="00781896" w:rsidRDefault="00781896" w:rsidP="00781896">
      <w:pPr>
        <w:spacing w:line="480" w:lineRule="auto"/>
        <w:jc w:val="center"/>
        <w:rPr>
          <w:rFonts w:ascii="Times New Roman" w:hAnsi="Times New Roman" w:cs="Times New Roman"/>
          <w:b/>
          <w:bCs/>
        </w:rPr>
      </w:pPr>
      <w:r w:rsidRPr="00781896">
        <w:rPr>
          <w:rFonts w:ascii="Times New Roman" w:hAnsi="Times New Roman" w:cs="Times New Roman"/>
          <w:b/>
          <w:bCs/>
        </w:rPr>
        <w:lastRenderedPageBreak/>
        <w:t>Analysis</w:t>
      </w:r>
      <w:r>
        <w:rPr>
          <w:rFonts w:ascii="Times New Roman" w:hAnsi="Times New Roman" w:cs="Times New Roman"/>
          <w:b/>
          <w:bCs/>
        </w:rPr>
        <w:t xml:space="preserve"> &amp; Application</w:t>
      </w:r>
    </w:p>
    <w:p w14:paraId="4CBD9177" w14:textId="2F13BF7D" w:rsidR="0034566A" w:rsidRPr="0034566A" w:rsidRDefault="00106CA8" w:rsidP="0034566A">
      <w:pPr>
        <w:spacing w:line="480" w:lineRule="auto"/>
        <w:rPr>
          <w:rFonts w:ascii="Times New Roman" w:hAnsi="Times New Roman" w:cs="Times New Roman"/>
        </w:rPr>
      </w:pPr>
      <w:r>
        <w:rPr>
          <w:rFonts w:ascii="Times New Roman" w:hAnsi="Times New Roman" w:cs="Times New Roman"/>
        </w:rPr>
        <w:tab/>
        <w:t>Considering how the brain interprets, stores, and recalls knowledge, and applying the Perkins model of learning strategies for enhanced knowledge (2009), it seems clear that teachers and learners need to understand the cognitive science of brain development.  Perkins explains that “playing the game of learning well is as much a matter of attitude as skill” (p. 201).  Educators can examine mental representations on a cognitive level in order to practice Perkins’ model of teaching in an effective way.  The following is a list of mental representations and how teachers can apply Perkins’ strategies for optimal effect.</w:t>
      </w:r>
    </w:p>
    <w:tbl>
      <w:tblPr>
        <w:tblStyle w:val="TableGrid"/>
        <w:tblW w:w="0" w:type="auto"/>
        <w:tblLook w:val="04A0" w:firstRow="1" w:lastRow="0" w:firstColumn="1" w:lastColumn="0" w:noHBand="0" w:noVBand="1"/>
      </w:tblPr>
      <w:tblGrid>
        <w:gridCol w:w="3116"/>
        <w:gridCol w:w="3117"/>
        <w:gridCol w:w="3117"/>
      </w:tblGrid>
      <w:tr w:rsidR="00781896" w:rsidRPr="009A3851" w14:paraId="2A3E1269" w14:textId="77777777" w:rsidTr="00781896">
        <w:tc>
          <w:tcPr>
            <w:tcW w:w="3116" w:type="dxa"/>
          </w:tcPr>
          <w:p w14:paraId="155C539E" w14:textId="2D99C2C4" w:rsidR="00781896" w:rsidRPr="009A3851" w:rsidRDefault="00781896" w:rsidP="00650144">
            <w:pPr>
              <w:spacing w:line="480" w:lineRule="auto"/>
              <w:jc w:val="center"/>
              <w:rPr>
                <w:rFonts w:ascii="Times New Roman" w:hAnsi="Times New Roman" w:cs="Times New Roman"/>
                <w:b/>
                <w:bCs/>
              </w:rPr>
            </w:pPr>
            <w:r w:rsidRPr="009A3851">
              <w:rPr>
                <w:rFonts w:ascii="Times New Roman" w:hAnsi="Times New Roman" w:cs="Times New Roman"/>
                <w:b/>
                <w:bCs/>
              </w:rPr>
              <w:t>Mental Representation</w:t>
            </w:r>
          </w:p>
        </w:tc>
        <w:tc>
          <w:tcPr>
            <w:tcW w:w="3117" w:type="dxa"/>
          </w:tcPr>
          <w:p w14:paraId="12009105" w14:textId="75488AA1" w:rsidR="00781896" w:rsidRPr="009A3851" w:rsidRDefault="00781896" w:rsidP="00650144">
            <w:pPr>
              <w:spacing w:line="480" w:lineRule="auto"/>
              <w:jc w:val="center"/>
              <w:rPr>
                <w:rFonts w:ascii="Times New Roman" w:hAnsi="Times New Roman" w:cs="Times New Roman"/>
                <w:b/>
                <w:bCs/>
              </w:rPr>
            </w:pPr>
            <w:r w:rsidRPr="009A3851">
              <w:rPr>
                <w:rFonts w:ascii="Times New Roman" w:hAnsi="Times New Roman" w:cs="Times New Roman"/>
                <w:b/>
                <w:bCs/>
              </w:rPr>
              <w:t>Perkins Strategy</w:t>
            </w:r>
          </w:p>
        </w:tc>
        <w:tc>
          <w:tcPr>
            <w:tcW w:w="3117" w:type="dxa"/>
          </w:tcPr>
          <w:p w14:paraId="3AC81E45" w14:textId="7969C777" w:rsidR="00781896" w:rsidRPr="009A3851" w:rsidRDefault="00781896" w:rsidP="00650144">
            <w:pPr>
              <w:spacing w:line="480" w:lineRule="auto"/>
              <w:jc w:val="center"/>
              <w:rPr>
                <w:rFonts w:ascii="Times New Roman" w:hAnsi="Times New Roman" w:cs="Times New Roman"/>
                <w:b/>
                <w:bCs/>
              </w:rPr>
            </w:pPr>
            <w:r w:rsidRPr="009A3851">
              <w:rPr>
                <w:rFonts w:ascii="Times New Roman" w:hAnsi="Times New Roman" w:cs="Times New Roman"/>
                <w:b/>
                <w:bCs/>
              </w:rPr>
              <w:t>Instructional Strategy</w:t>
            </w:r>
          </w:p>
        </w:tc>
      </w:tr>
      <w:tr w:rsidR="00781896" w14:paraId="1B89DFF8" w14:textId="77777777" w:rsidTr="00781896">
        <w:tc>
          <w:tcPr>
            <w:tcW w:w="3116" w:type="dxa"/>
          </w:tcPr>
          <w:p w14:paraId="2A551BB7" w14:textId="26DCB032" w:rsidR="00781896" w:rsidRDefault="00781896" w:rsidP="00781896">
            <w:pPr>
              <w:spacing w:line="480" w:lineRule="auto"/>
              <w:rPr>
                <w:rFonts w:ascii="Times New Roman" w:hAnsi="Times New Roman" w:cs="Times New Roman"/>
              </w:rPr>
            </w:pPr>
            <w:r>
              <w:t xml:space="preserve">Logic relies on the learner using pre-existing ideas to problem-solve a current situation.  It is based on the idea that a learner has had enough past experiences to have created a baseline of thoughts.  Logic alone is not always an accurate method of learning as it relies on a learner’s past experiences that may not apply to current </w:t>
            </w:r>
            <w:r>
              <w:lastRenderedPageBreak/>
              <w:t>problem-solving situations (Paul Thagard, 2019).</w:t>
            </w:r>
          </w:p>
        </w:tc>
        <w:tc>
          <w:tcPr>
            <w:tcW w:w="3117" w:type="dxa"/>
          </w:tcPr>
          <w:p w14:paraId="6A737E5E" w14:textId="77777777" w:rsidR="00650144" w:rsidRDefault="00650144" w:rsidP="00650144">
            <w:pPr>
              <w:spacing w:line="480" w:lineRule="auto"/>
              <w:rPr>
                <w:rFonts w:ascii="Times New Roman" w:hAnsi="Times New Roman" w:cs="Times New Roman"/>
              </w:rPr>
            </w:pPr>
            <w:r>
              <w:rPr>
                <w:rFonts w:ascii="Times New Roman" w:hAnsi="Times New Roman" w:cs="Times New Roman"/>
              </w:rPr>
              <w:lastRenderedPageBreak/>
              <w:t>According to Perkins (2009), playing the whole game is a process of problem finding rather than problem solving.</w:t>
            </w:r>
          </w:p>
          <w:p w14:paraId="1E14FF98" w14:textId="47642231" w:rsidR="00650144" w:rsidRDefault="00650144" w:rsidP="00650144">
            <w:pPr>
              <w:spacing w:line="480" w:lineRule="auto"/>
              <w:rPr>
                <w:rFonts w:ascii="Times New Roman" w:hAnsi="Times New Roman" w:cs="Times New Roman"/>
              </w:rPr>
            </w:pPr>
            <w:r>
              <w:rPr>
                <w:rFonts w:ascii="Times New Roman" w:hAnsi="Times New Roman" w:cs="Times New Roman"/>
              </w:rPr>
              <w:t>Logic relies on a learner’s</w:t>
            </w:r>
            <w:r w:rsidR="00F3018E">
              <w:rPr>
                <w:rFonts w:ascii="Times New Roman" w:hAnsi="Times New Roman" w:cs="Times New Roman"/>
              </w:rPr>
              <w:t xml:space="preserve"> past experiences and are applied to problem solving.  Playing the whole game is an inquiry-based process that can connect knowledge across subject matters for a meaningful enhancement of understanding.  By using this method, teaching can go </w:t>
            </w:r>
            <w:r w:rsidR="00F3018E">
              <w:rPr>
                <w:rFonts w:ascii="Times New Roman" w:hAnsi="Times New Roman" w:cs="Times New Roman"/>
              </w:rPr>
              <w:lastRenderedPageBreak/>
              <w:t>beyond the learners’ pre-established ideas, expose the whole game to find the problems, and strengthen the learners’ logic for future learning.  This model of learning can encourage strategies and evidence that go beyond a learner’s personal logic and strengthen their pre-existing ideas of knowledge to include the process of discovery.</w:t>
            </w:r>
          </w:p>
        </w:tc>
        <w:tc>
          <w:tcPr>
            <w:tcW w:w="3117" w:type="dxa"/>
          </w:tcPr>
          <w:p w14:paraId="269E21F8" w14:textId="74177502" w:rsidR="00650144" w:rsidRDefault="009A3851" w:rsidP="00781896">
            <w:pPr>
              <w:spacing w:line="480" w:lineRule="auto"/>
              <w:rPr>
                <w:rFonts w:ascii="Times New Roman" w:hAnsi="Times New Roman" w:cs="Times New Roman"/>
              </w:rPr>
            </w:pPr>
            <w:r>
              <w:rPr>
                <w:rFonts w:ascii="Times New Roman" w:hAnsi="Times New Roman" w:cs="Times New Roman"/>
              </w:rPr>
              <w:lastRenderedPageBreak/>
              <w:t>Incorporating the concept of playing the whole game includes behavioral strategies to enhance learning.  The University of Waterloo (n.d.). explains that problems should be applied to the entire context in order to ensure an understanding of its meaning as a whole.</w:t>
            </w:r>
            <w:r w:rsidR="009146C1">
              <w:rPr>
                <w:rFonts w:ascii="Times New Roman" w:hAnsi="Times New Roman" w:cs="Times New Roman"/>
              </w:rPr>
              <w:t xml:space="preserve">  Strategies include teaching with the entire context in mind, showing learners how problems connect to the </w:t>
            </w:r>
            <w:r w:rsidR="009146C1">
              <w:rPr>
                <w:rFonts w:ascii="Times New Roman" w:hAnsi="Times New Roman" w:cs="Times New Roman"/>
              </w:rPr>
              <w:lastRenderedPageBreak/>
              <w:t>whole, and allowing learners to discover the whole game on their own by creating junior games.  Teachers can place problems in context by defining the end goal.  Asking questions like “what”, “how”, “when”, and “why” will avoid surface learning by encouraging a discovery of the whole game, how the problems fit within their context, and how it applies to other subjects.</w:t>
            </w:r>
          </w:p>
        </w:tc>
      </w:tr>
      <w:tr w:rsidR="00781896" w14:paraId="3B4D1076" w14:textId="77777777" w:rsidTr="00781896">
        <w:tc>
          <w:tcPr>
            <w:tcW w:w="3116" w:type="dxa"/>
          </w:tcPr>
          <w:p w14:paraId="1361DB67" w14:textId="5752CC44" w:rsidR="00781896" w:rsidRDefault="00781896" w:rsidP="00781896">
            <w:pPr>
              <w:spacing w:line="480" w:lineRule="auto"/>
              <w:jc w:val="center"/>
              <w:rPr>
                <w:rFonts w:ascii="Times New Roman" w:hAnsi="Times New Roman" w:cs="Times New Roman"/>
              </w:rPr>
            </w:pPr>
            <w:r>
              <w:lastRenderedPageBreak/>
              <w:t xml:space="preserve">Rules are based on the formula “if” and “then”.  Rules are more structured in its methodology and are the foundation of developing artificial intelligence.  There are limitations to solely relying on rules as it does not </w:t>
            </w:r>
            <w:r>
              <w:lastRenderedPageBreak/>
              <w:t>measure personal emotions or experiences (Paul Thagard, 2019).</w:t>
            </w:r>
          </w:p>
        </w:tc>
        <w:tc>
          <w:tcPr>
            <w:tcW w:w="3117" w:type="dxa"/>
          </w:tcPr>
          <w:p w14:paraId="2C2ABBA3" w14:textId="138ABD69" w:rsidR="00781896" w:rsidRDefault="00650144" w:rsidP="00781896">
            <w:pPr>
              <w:spacing w:line="480" w:lineRule="auto"/>
              <w:rPr>
                <w:rFonts w:ascii="Times New Roman" w:hAnsi="Times New Roman" w:cs="Times New Roman"/>
              </w:rPr>
            </w:pPr>
            <w:r>
              <w:rPr>
                <w:rFonts w:ascii="Times New Roman" w:hAnsi="Times New Roman" w:cs="Times New Roman"/>
              </w:rPr>
              <w:lastRenderedPageBreak/>
              <w:t>Work</w:t>
            </w:r>
            <w:r w:rsidR="00F3018E">
              <w:rPr>
                <w:rFonts w:ascii="Times New Roman" w:hAnsi="Times New Roman" w:cs="Times New Roman"/>
              </w:rPr>
              <w:t>ing</w:t>
            </w:r>
            <w:r>
              <w:rPr>
                <w:rFonts w:ascii="Times New Roman" w:hAnsi="Times New Roman" w:cs="Times New Roman"/>
              </w:rPr>
              <w:t xml:space="preserve"> on the hard parts</w:t>
            </w:r>
            <w:r w:rsidR="00F3018E">
              <w:rPr>
                <w:rFonts w:ascii="Times New Roman" w:hAnsi="Times New Roman" w:cs="Times New Roman"/>
              </w:rPr>
              <w:t xml:space="preserve"> is an individualized approach to problem finding that involves a deconstruction of the material presented.  Rather than using an “if” and “then” strategy, learners can pinpoint where they need extra practice to enhance their </w:t>
            </w:r>
            <w:r w:rsidR="00F3018E">
              <w:rPr>
                <w:rFonts w:ascii="Times New Roman" w:hAnsi="Times New Roman" w:cs="Times New Roman"/>
              </w:rPr>
              <w:lastRenderedPageBreak/>
              <w:t>knowledge.  Working on the hard parts</w:t>
            </w:r>
            <w:r w:rsidR="00FA1C20">
              <w:rPr>
                <w:rFonts w:ascii="Times New Roman" w:hAnsi="Times New Roman" w:cs="Times New Roman"/>
              </w:rPr>
              <w:t xml:space="preserve"> defies the approach of linear equating and surface learning by encouraging personal motivation to discover the meaning behind new concepts.  This strategy requires self-motivation from the learner and can defy the surface learning strategies of rules.</w:t>
            </w:r>
          </w:p>
        </w:tc>
        <w:tc>
          <w:tcPr>
            <w:tcW w:w="3117" w:type="dxa"/>
          </w:tcPr>
          <w:p w14:paraId="7E6D1F0C" w14:textId="204AE67A" w:rsidR="00781896" w:rsidRDefault="00015904" w:rsidP="00781896">
            <w:pPr>
              <w:spacing w:line="480" w:lineRule="auto"/>
              <w:rPr>
                <w:rFonts w:ascii="Times New Roman" w:hAnsi="Times New Roman" w:cs="Times New Roman"/>
              </w:rPr>
            </w:pPr>
            <w:r>
              <w:rPr>
                <w:rFonts w:ascii="Times New Roman" w:hAnsi="Times New Roman" w:cs="Times New Roman"/>
              </w:rPr>
              <w:lastRenderedPageBreak/>
              <w:t xml:space="preserve">Grace Belfiore (2016)  describes working on the hard parts as a development of competencies using deliberate practice, feedback, and reflection.  Rather than supplying students with corrected assignments with little commentary, students </w:t>
            </w:r>
            <w:r>
              <w:rPr>
                <w:rFonts w:ascii="Times New Roman" w:hAnsi="Times New Roman" w:cs="Times New Roman"/>
              </w:rPr>
              <w:lastRenderedPageBreak/>
              <w:t>need to be learning interactively to discover the hard parts.  A process of communication throughout the instruction between teacher and learners that focuses on individual strengths and weaknesses can help learners discover what they need to focus on.  If a student can find the hard parts and enhance their learning, they will be more motivated as they discover the secret to success.</w:t>
            </w:r>
          </w:p>
        </w:tc>
      </w:tr>
      <w:tr w:rsidR="00781896" w14:paraId="18575BE5" w14:textId="77777777" w:rsidTr="00781896">
        <w:tc>
          <w:tcPr>
            <w:tcW w:w="3116" w:type="dxa"/>
          </w:tcPr>
          <w:p w14:paraId="167D5783" w14:textId="5FC17F4B" w:rsidR="00781896" w:rsidRDefault="00781896" w:rsidP="00781896">
            <w:pPr>
              <w:spacing w:line="480" w:lineRule="auto"/>
              <w:rPr>
                <w:rFonts w:ascii="Times New Roman" w:hAnsi="Times New Roman" w:cs="Times New Roman"/>
              </w:rPr>
            </w:pPr>
            <w:r>
              <w:lastRenderedPageBreak/>
              <w:t xml:space="preserve">Concepts are a more adaptable mental representation and better represent the adaptability of mental thought as it applies to learning.  Concepts can represent both </w:t>
            </w:r>
            <w:r>
              <w:lastRenderedPageBreak/>
              <w:t>computational and psychological brain activity.  Multiple features work together to target both rules and logic (Paul Thagard, 2019).</w:t>
            </w:r>
          </w:p>
        </w:tc>
        <w:tc>
          <w:tcPr>
            <w:tcW w:w="3117" w:type="dxa"/>
          </w:tcPr>
          <w:p w14:paraId="6192EB7E" w14:textId="63F21B7A" w:rsidR="00781896" w:rsidRDefault="00FA1C20" w:rsidP="00781896">
            <w:pPr>
              <w:spacing w:line="480" w:lineRule="auto"/>
              <w:rPr>
                <w:rFonts w:ascii="Times New Roman" w:hAnsi="Times New Roman" w:cs="Times New Roman"/>
              </w:rPr>
            </w:pPr>
            <w:r>
              <w:rPr>
                <w:rFonts w:ascii="Times New Roman" w:hAnsi="Times New Roman" w:cs="Times New Roman"/>
              </w:rPr>
              <w:lastRenderedPageBreak/>
              <w:t>Mak</w:t>
            </w:r>
            <w:r w:rsidR="00E63D4F">
              <w:rPr>
                <w:rFonts w:ascii="Times New Roman" w:hAnsi="Times New Roman" w:cs="Times New Roman"/>
              </w:rPr>
              <w:t>ing</w:t>
            </w:r>
            <w:r>
              <w:rPr>
                <w:rFonts w:ascii="Times New Roman" w:hAnsi="Times New Roman" w:cs="Times New Roman"/>
              </w:rPr>
              <w:t xml:space="preserve"> the game worth playing can further enhance a learner’s experience by building upon the foundation of concepts.  Rather than relying on strategies of learning alone, making the game worth playing can </w:t>
            </w:r>
            <w:r>
              <w:rPr>
                <w:rFonts w:ascii="Times New Roman" w:hAnsi="Times New Roman" w:cs="Times New Roman"/>
              </w:rPr>
              <w:lastRenderedPageBreak/>
              <w:t>expose the significance of the material by encouraging the learner to want to learn.  Material can be related to learners’ personal experiences and interests, which would solidify retention and retrieval of the material in the brain.</w:t>
            </w:r>
          </w:p>
        </w:tc>
        <w:tc>
          <w:tcPr>
            <w:tcW w:w="3117" w:type="dxa"/>
          </w:tcPr>
          <w:p w14:paraId="5C6135BC" w14:textId="39BCF0CB" w:rsidR="00781896" w:rsidRDefault="00015904" w:rsidP="00781896">
            <w:pPr>
              <w:spacing w:line="480" w:lineRule="auto"/>
              <w:rPr>
                <w:rFonts w:ascii="Times New Roman" w:hAnsi="Times New Roman" w:cs="Times New Roman"/>
              </w:rPr>
            </w:pPr>
            <w:r>
              <w:rPr>
                <w:rFonts w:ascii="Times New Roman" w:hAnsi="Times New Roman" w:cs="Times New Roman"/>
              </w:rPr>
              <w:lastRenderedPageBreak/>
              <w:t xml:space="preserve">The key to motivating students is understanding how they learn (Ken Bain, 2004).  </w:t>
            </w:r>
            <w:r w:rsidR="00095F0C">
              <w:rPr>
                <w:rFonts w:ascii="Times New Roman" w:hAnsi="Times New Roman" w:cs="Times New Roman"/>
              </w:rPr>
              <w:t xml:space="preserve">It also requires fostering intrinsic motivation: finding a way that the learner will motivate themselves.  In order accomplish this, the </w:t>
            </w:r>
            <w:r w:rsidR="00095F0C">
              <w:rPr>
                <w:rFonts w:ascii="Times New Roman" w:hAnsi="Times New Roman" w:cs="Times New Roman"/>
              </w:rPr>
              <w:lastRenderedPageBreak/>
              <w:t>material needs to be presented in an interesting way.  If a student does not have an interest for whatever reason, they tend to lose motivation to succeed.  Presenting the material out of its limiting subject, it should be applied to real-world problems to make it relevant.</w:t>
            </w:r>
          </w:p>
        </w:tc>
      </w:tr>
      <w:tr w:rsidR="00781896" w14:paraId="071D8090" w14:textId="77777777" w:rsidTr="00781896">
        <w:tc>
          <w:tcPr>
            <w:tcW w:w="3116" w:type="dxa"/>
          </w:tcPr>
          <w:p w14:paraId="6A6D1790" w14:textId="39539A82" w:rsidR="00781896" w:rsidRDefault="00781896" w:rsidP="00781896">
            <w:pPr>
              <w:spacing w:line="480" w:lineRule="auto"/>
              <w:rPr>
                <w:rFonts w:ascii="Times New Roman" w:hAnsi="Times New Roman" w:cs="Times New Roman"/>
              </w:rPr>
            </w:pPr>
            <w:r>
              <w:lastRenderedPageBreak/>
              <w:t xml:space="preserve">Analogies/Cases represent the diversity of human thinking in terms of problem-solving and explanations.  Based on language-based representation, analogies can be described as how the human brain stores and retrieves information in order to apply prior knowledge to current </w:t>
            </w:r>
            <w:r>
              <w:lastRenderedPageBreak/>
              <w:t>problem-solving (Paul Thagard, 2019).</w:t>
            </w:r>
          </w:p>
        </w:tc>
        <w:tc>
          <w:tcPr>
            <w:tcW w:w="3117" w:type="dxa"/>
          </w:tcPr>
          <w:p w14:paraId="762DD211" w14:textId="53E9D84B" w:rsidR="00781896" w:rsidRDefault="008655A4" w:rsidP="00781896">
            <w:pPr>
              <w:spacing w:line="480" w:lineRule="auto"/>
              <w:rPr>
                <w:rFonts w:ascii="Times New Roman" w:hAnsi="Times New Roman" w:cs="Times New Roman"/>
              </w:rPr>
            </w:pPr>
            <w:r>
              <w:rPr>
                <w:rFonts w:ascii="Times New Roman" w:hAnsi="Times New Roman" w:cs="Times New Roman"/>
              </w:rPr>
              <w:lastRenderedPageBreak/>
              <w:t xml:space="preserve">Learning from the team can help improve and strengthen learners’ analogies and cases through peer dialogue and cooperative learning.  Using language-based representation, learning from the team relies on a social view of teaching and learning, where learners share prior knowledge and current problem-finding skills.  Problems are discovered by </w:t>
            </w:r>
            <w:r>
              <w:rPr>
                <w:rFonts w:ascii="Times New Roman" w:hAnsi="Times New Roman" w:cs="Times New Roman"/>
              </w:rPr>
              <w:lastRenderedPageBreak/>
              <w:t>the group, “where ideas are shared through discussion, collaboration, and critique” (Perkins, 2009, p. 173).  Learning from the team can strengthen a learner’s ability to store and retrieve information in the brain if they collaborate with others and discover more relatable connections within the material.</w:t>
            </w:r>
          </w:p>
        </w:tc>
        <w:tc>
          <w:tcPr>
            <w:tcW w:w="3117" w:type="dxa"/>
          </w:tcPr>
          <w:p w14:paraId="56E0BF73" w14:textId="03C3C5F3" w:rsidR="00781896" w:rsidRDefault="00015904" w:rsidP="00781896">
            <w:pPr>
              <w:spacing w:line="480" w:lineRule="auto"/>
              <w:rPr>
                <w:rFonts w:ascii="Times New Roman" w:hAnsi="Times New Roman" w:cs="Times New Roman"/>
              </w:rPr>
            </w:pPr>
            <w:r>
              <w:rPr>
                <w:rFonts w:ascii="Times New Roman" w:hAnsi="Times New Roman" w:cs="Times New Roman"/>
              </w:rPr>
              <w:lastRenderedPageBreak/>
              <w:t xml:space="preserve">According to Grace Belfiore (2016), “students need in an increasingly complex world requires an integration of thinking skills and real-world abilities” (p. 1).  She explains how project-based learning (PBL), especially projects that students work on in groups, is the most widely used strategy for whole game learning.  Relying on other team members to share their </w:t>
            </w:r>
            <w:r>
              <w:rPr>
                <w:rFonts w:ascii="Times New Roman" w:hAnsi="Times New Roman" w:cs="Times New Roman"/>
              </w:rPr>
              <w:lastRenderedPageBreak/>
              <w:t>personal experiences, strategies, and concepts is an interactive approach to holistic learning, which is more authentic as it applies to real-world problems.  A teacher can focus on the process of learning rather than a final result.  Rubrics can be used for outcomes as well as processes and collaboration.</w:t>
            </w:r>
          </w:p>
        </w:tc>
      </w:tr>
      <w:tr w:rsidR="00781896" w14:paraId="3C4486F4" w14:textId="77777777" w:rsidTr="00781896">
        <w:tc>
          <w:tcPr>
            <w:tcW w:w="3116" w:type="dxa"/>
          </w:tcPr>
          <w:p w14:paraId="11D9C95D" w14:textId="34A4CEF8" w:rsidR="00781896" w:rsidRDefault="00781896" w:rsidP="00781896">
            <w:pPr>
              <w:spacing w:line="480" w:lineRule="auto"/>
              <w:rPr>
                <w:rFonts w:ascii="Times New Roman" w:hAnsi="Times New Roman" w:cs="Times New Roman"/>
              </w:rPr>
            </w:pPr>
            <w:r>
              <w:lastRenderedPageBreak/>
              <w:t xml:space="preserve">Images are a pictorial approach to thinking and learning, but not limited to visual sensory experiences.  The brain process and manipulates images of situations and past experiences.  It is linked to the thinking concept of early civilizations using imagery as </w:t>
            </w:r>
            <w:r>
              <w:lastRenderedPageBreak/>
              <w:t>a form of written language and communication (Paul Thagard, 2019).</w:t>
            </w:r>
          </w:p>
        </w:tc>
        <w:tc>
          <w:tcPr>
            <w:tcW w:w="3117" w:type="dxa"/>
          </w:tcPr>
          <w:p w14:paraId="6B0EBF56" w14:textId="10083ECA" w:rsidR="00781896" w:rsidRDefault="008655A4" w:rsidP="00781896">
            <w:pPr>
              <w:spacing w:line="480" w:lineRule="auto"/>
              <w:rPr>
                <w:rFonts w:ascii="Times New Roman" w:hAnsi="Times New Roman" w:cs="Times New Roman"/>
              </w:rPr>
            </w:pPr>
            <w:r>
              <w:rPr>
                <w:rFonts w:ascii="Times New Roman" w:hAnsi="Times New Roman" w:cs="Times New Roman"/>
              </w:rPr>
              <w:lastRenderedPageBreak/>
              <w:t>Playing out of town involves the discovery of connections between varying subjects of study.  As a learner stores new information in their brain on a sensory level, finding connections can improve a learner’s</w:t>
            </w:r>
            <w:r w:rsidR="002B63AB">
              <w:rPr>
                <w:rFonts w:ascii="Times New Roman" w:hAnsi="Times New Roman" w:cs="Times New Roman"/>
              </w:rPr>
              <w:t xml:space="preserve"> imagery language by recognizing connections in previously assumed isolated subjects.  Playing out of town </w:t>
            </w:r>
            <w:r w:rsidR="002B63AB">
              <w:rPr>
                <w:rFonts w:ascii="Times New Roman" w:hAnsi="Times New Roman" w:cs="Times New Roman"/>
              </w:rPr>
              <w:lastRenderedPageBreak/>
              <w:t xml:space="preserve">can easily be described as a transfer of learning with the goal being learning for deeper understanding.  By applying new knowledge out of town, connections can be </w:t>
            </w:r>
            <w:r w:rsidR="00B55530">
              <w:rPr>
                <w:rFonts w:ascii="Times New Roman" w:hAnsi="Times New Roman" w:cs="Times New Roman"/>
              </w:rPr>
              <w:t>made,</w:t>
            </w:r>
            <w:r w:rsidR="002B63AB">
              <w:rPr>
                <w:rFonts w:ascii="Times New Roman" w:hAnsi="Times New Roman" w:cs="Times New Roman"/>
              </w:rPr>
              <w:t xml:space="preserve"> and sensory memory will be strengthened.</w:t>
            </w:r>
          </w:p>
        </w:tc>
        <w:tc>
          <w:tcPr>
            <w:tcW w:w="3117" w:type="dxa"/>
          </w:tcPr>
          <w:p w14:paraId="2FCF3C2E" w14:textId="5A1503BE" w:rsidR="00781896" w:rsidRDefault="00095F0C" w:rsidP="00781896">
            <w:pPr>
              <w:spacing w:line="480" w:lineRule="auto"/>
              <w:rPr>
                <w:rFonts w:ascii="Times New Roman" w:hAnsi="Times New Roman" w:cs="Times New Roman"/>
              </w:rPr>
            </w:pPr>
            <w:r>
              <w:rPr>
                <w:rFonts w:ascii="Times New Roman" w:hAnsi="Times New Roman" w:cs="Times New Roman"/>
              </w:rPr>
              <w:lastRenderedPageBreak/>
              <w:t>Strategies to playing out of town involve bringing the real world into the classroom (Kim Haynes, n.d.).</w:t>
            </w:r>
            <w:r w:rsidR="000614C5">
              <w:rPr>
                <w:rFonts w:ascii="Times New Roman" w:hAnsi="Times New Roman" w:cs="Times New Roman"/>
              </w:rPr>
              <w:t xml:space="preserve">  Teachers can include guest speakers in their classrooms to show the learners how the material is used in real life.  English teachers can invite writers, </w:t>
            </w:r>
            <w:r w:rsidR="00415764">
              <w:rPr>
                <w:rFonts w:ascii="Times New Roman" w:hAnsi="Times New Roman" w:cs="Times New Roman"/>
              </w:rPr>
              <w:t>science</w:t>
            </w:r>
            <w:r w:rsidR="000614C5">
              <w:rPr>
                <w:rFonts w:ascii="Times New Roman" w:hAnsi="Times New Roman" w:cs="Times New Roman"/>
              </w:rPr>
              <w:t xml:space="preserve"> teachers can invite </w:t>
            </w:r>
            <w:r w:rsidR="00415764">
              <w:rPr>
                <w:rFonts w:ascii="Times New Roman" w:hAnsi="Times New Roman" w:cs="Times New Roman"/>
              </w:rPr>
              <w:t xml:space="preserve">researchers from the medical </w:t>
            </w:r>
            <w:r w:rsidR="00415764">
              <w:rPr>
                <w:rFonts w:ascii="Times New Roman" w:hAnsi="Times New Roman" w:cs="Times New Roman"/>
              </w:rPr>
              <w:lastRenderedPageBreak/>
              <w:t>or technical field, etc.  Material can be presented using a real-world context:  when teaching Paleolithic history, the class can use technology to learn about the current regions of artifacts, the climate and social settings of then and now, and its links to contemporary practices.</w:t>
            </w:r>
          </w:p>
        </w:tc>
      </w:tr>
    </w:tbl>
    <w:p w14:paraId="1A6FF651" w14:textId="027F03EB" w:rsidR="00781896" w:rsidRDefault="00781896" w:rsidP="00781896">
      <w:pPr>
        <w:spacing w:line="480" w:lineRule="auto"/>
        <w:rPr>
          <w:rFonts w:ascii="Times New Roman" w:hAnsi="Times New Roman" w:cs="Times New Roman"/>
        </w:rPr>
      </w:pPr>
    </w:p>
    <w:p w14:paraId="5DC610FB" w14:textId="4B0880A5" w:rsidR="003A6997" w:rsidRPr="003A6997" w:rsidRDefault="003A6997" w:rsidP="003A6997">
      <w:pPr>
        <w:spacing w:line="480" w:lineRule="auto"/>
        <w:jc w:val="center"/>
        <w:rPr>
          <w:rFonts w:ascii="Times New Roman" w:hAnsi="Times New Roman" w:cs="Times New Roman"/>
          <w:b/>
          <w:bCs/>
        </w:rPr>
      </w:pPr>
      <w:r w:rsidRPr="003A6997">
        <w:rPr>
          <w:rFonts w:ascii="Times New Roman" w:hAnsi="Times New Roman" w:cs="Times New Roman"/>
          <w:b/>
          <w:bCs/>
        </w:rPr>
        <w:t>Connections and Reflections</w:t>
      </w:r>
    </w:p>
    <w:p w14:paraId="76C76A36" w14:textId="77777777" w:rsidR="003A6997" w:rsidRDefault="003A6997" w:rsidP="00781896">
      <w:pPr>
        <w:spacing w:line="480" w:lineRule="auto"/>
        <w:rPr>
          <w:rFonts w:ascii="Times New Roman" w:hAnsi="Times New Roman" w:cs="Times New Roman"/>
        </w:rPr>
      </w:pPr>
      <w:r>
        <w:rPr>
          <w:rFonts w:ascii="Times New Roman" w:hAnsi="Times New Roman" w:cs="Times New Roman"/>
        </w:rPr>
        <w:tab/>
        <w:t>Perkins (2009) concludes:</w:t>
      </w:r>
    </w:p>
    <w:p w14:paraId="203C228B" w14:textId="0F39D370" w:rsidR="003A6997" w:rsidRDefault="003A6997" w:rsidP="003A6997">
      <w:pPr>
        <w:spacing w:line="480" w:lineRule="auto"/>
        <w:ind w:left="720"/>
        <w:rPr>
          <w:rFonts w:ascii="Times New Roman" w:hAnsi="Times New Roman" w:cs="Times New Roman"/>
        </w:rPr>
      </w:pPr>
      <w:r>
        <w:rPr>
          <w:rFonts w:ascii="Times New Roman" w:hAnsi="Times New Roman" w:cs="Times New Roman"/>
        </w:rPr>
        <w:t xml:space="preserve"> </w:t>
      </w:r>
      <w:r w:rsidR="00E63D4F">
        <w:rPr>
          <w:rFonts w:ascii="Times New Roman" w:hAnsi="Times New Roman" w:cs="Times New Roman"/>
        </w:rPr>
        <w:t>T</w:t>
      </w:r>
      <w:r>
        <w:rPr>
          <w:rFonts w:ascii="Times New Roman" w:hAnsi="Times New Roman" w:cs="Times New Roman"/>
        </w:rPr>
        <w:t>eachers who put learners in the driver’s seat and encourage them to explore and define ‘the game’ are helping learners to become proactive (p. 202).</w:t>
      </w:r>
    </w:p>
    <w:p w14:paraId="5E8935D6" w14:textId="1415001A" w:rsidR="0015211B" w:rsidRPr="001951BC" w:rsidRDefault="003A6997" w:rsidP="0015211B">
      <w:pPr>
        <w:spacing w:line="480" w:lineRule="auto"/>
        <w:rPr>
          <w:rFonts w:ascii="Times New Roman" w:hAnsi="Times New Roman" w:cs="Times New Roman"/>
        </w:rPr>
      </w:pPr>
      <w:r>
        <w:rPr>
          <w:rFonts w:ascii="Times New Roman" w:hAnsi="Times New Roman" w:cs="Times New Roman"/>
        </w:rPr>
        <w:t xml:space="preserve">Before completing this class, The Cognitive Science of Teaching and Learning, I really had no knowledge of the scientific models of brain development and how it relates to education.  </w:t>
      </w:r>
      <w:r w:rsidR="0015211B">
        <w:rPr>
          <w:rFonts w:ascii="Times New Roman" w:hAnsi="Times New Roman" w:cs="Times New Roman"/>
        </w:rPr>
        <w:t>My knowledge of the mind</w:t>
      </w:r>
      <w:r w:rsidR="00E63D4F">
        <w:rPr>
          <w:rFonts w:ascii="Times New Roman" w:hAnsi="Times New Roman" w:cs="Times New Roman"/>
        </w:rPr>
        <w:t xml:space="preserve"> previously</w:t>
      </w:r>
      <w:r w:rsidR="0015211B">
        <w:rPr>
          <w:rFonts w:ascii="Times New Roman" w:hAnsi="Times New Roman" w:cs="Times New Roman"/>
        </w:rPr>
        <w:t xml:space="preserve"> is best described by</w:t>
      </w:r>
      <w:r w:rsidR="0015211B" w:rsidRPr="001951BC">
        <w:rPr>
          <w:rFonts w:ascii="Times New Roman" w:hAnsi="Times New Roman" w:cs="Times New Roman"/>
        </w:rPr>
        <w:t xml:space="preserve"> Manoj Patharkar (2011):</w:t>
      </w:r>
    </w:p>
    <w:p w14:paraId="50E33978" w14:textId="1D7FCE64" w:rsidR="0015211B" w:rsidRDefault="0015211B" w:rsidP="0015211B">
      <w:pPr>
        <w:spacing w:line="480" w:lineRule="auto"/>
        <w:ind w:left="720"/>
        <w:rPr>
          <w:rFonts w:ascii="Times New Roman" w:hAnsi="Times New Roman" w:cs="Times New Roman"/>
        </w:rPr>
      </w:pPr>
      <w:r w:rsidRPr="001951BC">
        <w:rPr>
          <w:rFonts w:ascii="Times New Roman" w:hAnsi="Times New Roman" w:cs="Times New Roman"/>
        </w:rPr>
        <w:t>From the beginning of civilization, people have been conscious of a ‘mind’ which has been considered the origin of all scientific and cultural development (p. 218).</w:t>
      </w:r>
    </w:p>
    <w:p w14:paraId="1E364431" w14:textId="3B1E4C9C" w:rsidR="00CA1A4C" w:rsidRDefault="0015211B" w:rsidP="003A6997">
      <w:pPr>
        <w:spacing w:line="480" w:lineRule="auto"/>
        <w:rPr>
          <w:rFonts w:ascii="Times New Roman" w:hAnsi="Times New Roman" w:cs="Times New Roman"/>
        </w:rPr>
      </w:pPr>
      <w:r>
        <w:rPr>
          <w:rFonts w:ascii="Times New Roman" w:hAnsi="Times New Roman" w:cs="Times New Roman"/>
        </w:rPr>
        <w:t xml:space="preserve">Through teaching art history, I was intuitively aware that the human species has had the ability for complex and abstract thinking for tens of thousands of years.  </w:t>
      </w:r>
      <w:r w:rsidR="003A6997">
        <w:rPr>
          <w:rFonts w:ascii="Times New Roman" w:hAnsi="Times New Roman" w:cs="Times New Roman"/>
        </w:rPr>
        <w:t xml:space="preserve">My limited knowledge of </w:t>
      </w:r>
      <w:r w:rsidR="00E63D4F">
        <w:rPr>
          <w:rFonts w:ascii="Times New Roman" w:hAnsi="Times New Roman" w:cs="Times New Roman"/>
        </w:rPr>
        <w:t>cognitive science</w:t>
      </w:r>
      <w:r w:rsidR="003A6997">
        <w:rPr>
          <w:rFonts w:ascii="Times New Roman" w:hAnsi="Times New Roman" w:cs="Times New Roman"/>
        </w:rPr>
        <w:t xml:space="preserve"> </w:t>
      </w:r>
      <w:r>
        <w:rPr>
          <w:rFonts w:ascii="Times New Roman" w:hAnsi="Times New Roman" w:cs="Times New Roman"/>
        </w:rPr>
        <w:t xml:space="preserve">also included </w:t>
      </w:r>
      <w:r w:rsidR="003A6997">
        <w:rPr>
          <w:rFonts w:ascii="Times New Roman" w:hAnsi="Times New Roman" w:cs="Times New Roman"/>
        </w:rPr>
        <w:t xml:space="preserve"> an awareness of how students can learn differently.  In my </w:t>
      </w:r>
      <w:r w:rsidR="003A6997">
        <w:rPr>
          <w:rFonts w:ascii="Times New Roman" w:hAnsi="Times New Roman" w:cs="Times New Roman"/>
        </w:rPr>
        <w:lastRenderedPageBreak/>
        <w:t xml:space="preserve">teaching practice, I would explain concepts in many different ways, hoping that each student could grasp the material with at least one type of explanation.  Studio art classes </w:t>
      </w:r>
      <w:r>
        <w:rPr>
          <w:rFonts w:ascii="Times New Roman" w:hAnsi="Times New Roman" w:cs="Times New Roman"/>
        </w:rPr>
        <w:t>are</w:t>
      </w:r>
      <w:r w:rsidR="003A6997">
        <w:rPr>
          <w:rFonts w:ascii="Times New Roman" w:hAnsi="Times New Roman" w:cs="Times New Roman"/>
        </w:rPr>
        <w:t xml:space="preserve"> a natural environment for implementing Perkins’ model of education, I just wasn’t aware of his work until now.  As I was reading his book, I found myself recognizing that many of his strategies were ones that I ha</w:t>
      </w:r>
      <w:r w:rsidR="00E63D4F">
        <w:rPr>
          <w:rFonts w:ascii="Times New Roman" w:hAnsi="Times New Roman" w:cs="Times New Roman"/>
        </w:rPr>
        <w:t>ve</w:t>
      </w:r>
      <w:r w:rsidR="003A6997">
        <w:rPr>
          <w:rFonts w:ascii="Times New Roman" w:hAnsi="Times New Roman" w:cs="Times New Roman"/>
        </w:rPr>
        <w:t xml:space="preserve"> used for years.</w:t>
      </w:r>
      <w:r>
        <w:rPr>
          <w:rFonts w:ascii="Times New Roman" w:hAnsi="Times New Roman" w:cs="Times New Roman"/>
        </w:rPr>
        <w:t xml:space="preserve"> </w:t>
      </w:r>
    </w:p>
    <w:p w14:paraId="1075EE59" w14:textId="5335E37F" w:rsidR="003A6997" w:rsidRDefault="0015211B" w:rsidP="00CA1A4C">
      <w:pPr>
        <w:spacing w:line="480" w:lineRule="auto"/>
        <w:ind w:firstLine="720"/>
        <w:rPr>
          <w:rFonts w:ascii="Times New Roman" w:hAnsi="Times New Roman" w:cs="Times New Roman"/>
        </w:rPr>
      </w:pPr>
      <w:r>
        <w:rPr>
          <w:rFonts w:ascii="Times New Roman" w:hAnsi="Times New Roman" w:cs="Times New Roman"/>
        </w:rPr>
        <w:t>It was also quite useful to discover what my personal learning strengths and weaknesses were.  The Index of Learning Styles Questionnaire (Felder and Soloman, n.d.) was a great tool in discovering the varying aspects of individual learning, and I plan on using it with my students in the future if I see any of them struggling with classroom conte</w:t>
      </w:r>
      <w:r w:rsidR="00E63D4F">
        <w:rPr>
          <w:rFonts w:ascii="Times New Roman" w:hAnsi="Times New Roman" w:cs="Times New Roman"/>
        </w:rPr>
        <w:t>n</w:t>
      </w:r>
      <w:r>
        <w:rPr>
          <w:rFonts w:ascii="Times New Roman" w:hAnsi="Times New Roman" w:cs="Times New Roman"/>
        </w:rPr>
        <w:t>t.</w:t>
      </w:r>
      <w:r w:rsidR="00CA1A4C">
        <w:rPr>
          <w:rFonts w:ascii="Times New Roman" w:hAnsi="Times New Roman" w:cs="Times New Roman"/>
        </w:rPr>
        <w:t xml:space="preserve">  Studio art and art history relies heavily on imagery to express concepts, so now that I know it is a cognitive strategy for memory and recall, I will use more.  I can show images of several examples rather than a select few.  I can find ways to incorporate more sensory-appealing strategies in my classroom to enhance retention.</w:t>
      </w:r>
    </w:p>
    <w:p w14:paraId="4C096445" w14:textId="60CBCF16" w:rsidR="00CA1A4C" w:rsidRDefault="00CA1A4C" w:rsidP="00CA1A4C">
      <w:pPr>
        <w:spacing w:line="480" w:lineRule="auto"/>
        <w:ind w:firstLine="720"/>
        <w:rPr>
          <w:rFonts w:ascii="Times New Roman" w:hAnsi="Times New Roman" w:cs="Times New Roman"/>
        </w:rPr>
      </w:pPr>
      <w:r>
        <w:rPr>
          <w:rFonts w:ascii="Times New Roman" w:hAnsi="Times New Roman" w:cs="Times New Roman"/>
        </w:rPr>
        <w:t>I have uncovered a few areas that need improvement through my research in this class.  Although I discovered that I have been applying many of Perkins’ strategies in my teaching, there are a few that I am not.  Oftentimes, I get students in my classes that simply don’t see the connection between art and their real-life context.  In the past, I have made connections in art history with other subjects (playing the whole game), but I struggle to use that strategy in studio art classes, and I haven’t been considering how it all connects to the real world.  I think finding a way to do that will help “making the game worth playing.”  I’ve come to discover that I need to “learn the game of learning” as it pertains to my field and its potential impact on my students’ lives.</w:t>
      </w:r>
    </w:p>
    <w:p w14:paraId="1297A45D" w14:textId="2CD99792" w:rsidR="0015211B" w:rsidRDefault="00CA1A4C" w:rsidP="00B55530">
      <w:pPr>
        <w:spacing w:line="480" w:lineRule="auto"/>
        <w:ind w:firstLine="720"/>
        <w:rPr>
          <w:rFonts w:ascii="Times New Roman" w:hAnsi="Times New Roman" w:cs="Times New Roman"/>
        </w:rPr>
      </w:pPr>
      <w:r>
        <w:rPr>
          <w:rFonts w:ascii="Times New Roman" w:hAnsi="Times New Roman" w:cs="Times New Roman"/>
        </w:rPr>
        <w:lastRenderedPageBreak/>
        <w:t>Implications for my future teaching will hopefully establish stronger connections between class content, other subjects, students’ personal ideologies, and the real world.</w:t>
      </w:r>
      <w:r w:rsidR="00B55530">
        <w:rPr>
          <w:rFonts w:ascii="Times New Roman" w:hAnsi="Times New Roman" w:cs="Times New Roman"/>
        </w:rPr>
        <w:t xml:space="preserve">  As long as I remember that I don’t want my students’ to be in the passenger seat during “the game</w:t>
      </w:r>
      <w:r w:rsidR="00E63D4F">
        <w:rPr>
          <w:rFonts w:ascii="Times New Roman" w:hAnsi="Times New Roman" w:cs="Times New Roman"/>
        </w:rPr>
        <w:t>,</w:t>
      </w:r>
      <w:r w:rsidR="00B55530">
        <w:rPr>
          <w:rFonts w:ascii="Times New Roman" w:hAnsi="Times New Roman" w:cs="Times New Roman"/>
        </w:rPr>
        <w:t>” I can develop new strategies to place them in the driver’s seat.  The question that I will ask myself is the same as Perkins’: “What might be learned about the game of learning and how is it going to get learned? (p. 193).”  Through a new discovery in the cognitive science development on educational practices, I can connect teaching strategies with scientific results to ensure my students are “playing the whole game.”</w:t>
      </w:r>
    </w:p>
    <w:p w14:paraId="6F61A6AA" w14:textId="1043C351" w:rsidR="00B55530" w:rsidRDefault="00B55530" w:rsidP="00B55530">
      <w:pPr>
        <w:rPr>
          <w:rFonts w:ascii="Times New Roman" w:hAnsi="Times New Roman" w:cs="Times New Roman"/>
        </w:rPr>
      </w:pPr>
      <w:r>
        <w:rPr>
          <w:rFonts w:ascii="Times New Roman" w:hAnsi="Times New Roman" w:cs="Times New Roman"/>
        </w:rPr>
        <w:br w:type="page"/>
      </w:r>
    </w:p>
    <w:p w14:paraId="6FA56620" w14:textId="6A3B5D81" w:rsidR="00781896" w:rsidRPr="003A6997" w:rsidRDefault="003A6997" w:rsidP="003A6997">
      <w:pPr>
        <w:spacing w:line="480" w:lineRule="auto"/>
        <w:jc w:val="center"/>
        <w:rPr>
          <w:rFonts w:ascii="Times New Roman" w:hAnsi="Times New Roman" w:cs="Times New Roman"/>
          <w:b/>
          <w:bCs/>
        </w:rPr>
      </w:pPr>
      <w:r w:rsidRPr="003A6997">
        <w:rPr>
          <w:rFonts w:ascii="Times New Roman" w:hAnsi="Times New Roman" w:cs="Times New Roman"/>
          <w:b/>
          <w:bCs/>
        </w:rPr>
        <w:lastRenderedPageBreak/>
        <w:t>References</w:t>
      </w:r>
    </w:p>
    <w:p w14:paraId="45C7AE03" w14:textId="05620881" w:rsidR="00095F0C" w:rsidRDefault="00095F0C" w:rsidP="00095F0C">
      <w:pPr>
        <w:spacing w:line="480" w:lineRule="auto"/>
        <w:ind w:left="720" w:hanging="720"/>
        <w:rPr>
          <w:rFonts w:ascii="Times New Roman" w:hAnsi="Times New Roman" w:cs="Times New Roman"/>
        </w:rPr>
      </w:pPr>
      <w:r>
        <w:rPr>
          <w:rFonts w:ascii="Times New Roman" w:hAnsi="Times New Roman" w:cs="Times New Roman"/>
        </w:rPr>
        <w:t xml:space="preserve">Bain, K. (2004). </w:t>
      </w:r>
      <w:r w:rsidRPr="00095F0C">
        <w:rPr>
          <w:rFonts w:ascii="Times New Roman" w:hAnsi="Times New Roman" w:cs="Times New Roman"/>
          <w:i/>
          <w:iCs/>
        </w:rPr>
        <w:t>What the best college teachers do</w:t>
      </w:r>
      <w:r>
        <w:rPr>
          <w:rFonts w:ascii="Times New Roman" w:hAnsi="Times New Roman" w:cs="Times New Roman"/>
        </w:rPr>
        <w:t>.  Harvard University Press, Boston MA.</w:t>
      </w:r>
    </w:p>
    <w:p w14:paraId="050C4D90" w14:textId="23BD3354" w:rsidR="004749C4" w:rsidRPr="0015211B" w:rsidRDefault="004749C4" w:rsidP="0015211B">
      <w:pPr>
        <w:spacing w:line="480" w:lineRule="auto"/>
        <w:ind w:left="720" w:hanging="720"/>
        <w:rPr>
          <w:rFonts w:ascii="Times New Roman" w:hAnsi="Times New Roman" w:cs="Times New Roman"/>
        </w:rPr>
      </w:pPr>
      <w:r w:rsidRPr="0015211B">
        <w:rPr>
          <w:rFonts w:ascii="Times New Roman" w:hAnsi="Times New Roman" w:cs="Times New Roman"/>
        </w:rPr>
        <w:t xml:space="preserve">Belfiore, G. (Oct. 4, 2016).  </w:t>
      </w:r>
      <w:r w:rsidRPr="0015211B">
        <w:rPr>
          <w:rFonts w:ascii="Times New Roman" w:hAnsi="Times New Roman" w:cs="Times New Roman"/>
          <w:i/>
          <w:iCs/>
        </w:rPr>
        <w:t>Embracing the hard parts: 8 video resources for authentic learning design.</w:t>
      </w:r>
      <w:r w:rsidRPr="0015211B">
        <w:rPr>
          <w:rFonts w:ascii="Times New Roman" w:hAnsi="Times New Roman" w:cs="Times New Roman"/>
        </w:rPr>
        <w:t xml:space="preserve">  Next Generation Learning Challenges.  </w:t>
      </w:r>
    </w:p>
    <w:p w14:paraId="2C66F1D0" w14:textId="63A0712C" w:rsidR="0015211B" w:rsidRPr="0015211B" w:rsidRDefault="0015211B" w:rsidP="0015211B">
      <w:pPr>
        <w:spacing w:line="480" w:lineRule="auto"/>
        <w:rPr>
          <w:rFonts w:ascii="Times New Roman" w:hAnsi="Times New Roman" w:cs="Times New Roman"/>
        </w:rPr>
      </w:pPr>
      <w:r w:rsidRPr="0015211B">
        <w:rPr>
          <w:rFonts w:ascii="Times New Roman" w:hAnsi="Times New Roman" w:cs="Times New Roman"/>
        </w:rPr>
        <w:t>Felder, R. &amp; Soloman, B. (n.d.). Index of Learning Styles Questionnaire.  North Carolina State</w:t>
      </w:r>
      <w:r>
        <w:rPr>
          <w:rFonts w:ascii="Times New Roman" w:hAnsi="Times New Roman" w:cs="Times New Roman"/>
        </w:rPr>
        <w:t>.</w:t>
      </w:r>
    </w:p>
    <w:p w14:paraId="5030DAD2" w14:textId="21CC3F06" w:rsidR="00095F0C" w:rsidRPr="0015211B" w:rsidRDefault="00095F0C" w:rsidP="0015211B">
      <w:pPr>
        <w:spacing w:line="480" w:lineRule="auto"/>
        <w:ind w:left="720" w:hanging="720"/>
        <w:rPr>
          <w:rFonts w:ascii="Times New Roman" w:eastAsia="Times New Roman" w:hAnsi="Times New Roman" w:cs="Times New Roman"/>
        </w:rPr>
      </w:pPr>
      <w:r w:rsidRPr="0015211B">
        <w:rPr>
          <w:rFonts w:ascii="Times New Roman" w:hAnsi="Times New Roman" w:cs="Times New Roman"/>
        </w:rPr>
        <w:t xml:space="preserve">Hayes, K. (n.d.).  </w:t>
      </w:r>
      <w:r w:rsidRPr="0015211B">
        <w:rPr>
          <w:rFonts w:ascii="Times New Roman" w:hAnsi="Times New Roman" w:cs="Times New Roman"/>
          <w:i/>
          <w:iCs/>
        </w:rPr>
        <w:t>Top 12 ways to bring the real world into your classroo</w:t>
      </w:r>
      <w:r w:rsidRPr="0015211B">
        <w:rPr>
          <w:rFonts w:ascii="Times New Roman" w:hAnsi="Times New Roman" w:cs="Times New Roman"/>
        </w:rPr>
        <w:t xml:space="preserve">m.  K-12 Teachers Alliance.  Retrieved from: </w:t>
      </w:r>
      <w:hyperlink r:id="rId6" w:history="1">
        <w:r w:rsidRPr="0015211B">
          <w:rPr>
            <w:rStyle w:val="Hyperlink"/>
            <w:rFonts w:ascii="Times New Roman" w:eastAsia="Times New Roman" w:hAnsi="Times New Roman" w:cs="Times New Roman"/>
          </w:rPr>
          <w:t>https://www.teachhub.com/top-12-ways-bring-real-world-your-classroom</w:t>
        </w:r>
      </w:hyperlink>
    </w:p>
    <w:p w14:paraId="7590621F" w14:textId="421E3FBB" w:rsidR="00095F0C" w:rsidRDefault="0015211B" w:rsidP="0015211B">
      <w:pPr>
        <w:spacing w:line="480" w:lineRule="auto"/>
        <w:ind w:left="720" w:hanging="720"/>
        <w:rPr>
          <w:rFonts w:ascii="Times New Roman" w:hAnsi="Times New Roman" w:cs="Times New Roman"/>
        </w:rPr>
      </w:pPr>
      <w:r w:rsidRPr="0015211B">
        <w:rPr>
          <w:rFonts w:ascii="Times New Roman" w:hAnsi="Times New Roman" w:cs="Times New Roman"/>
        </w:rPr>
        <w:t xml:space="preserve">Patharkar, M. (2011). </w:t>
      </w:r>
      <w:r w:rsidRPr="0015211B">
        <w:rPr>
          <w:rFonts w:ascii="Times New Roman" w:hAnsi="Times New Roman" w:cs="Times New Roman"/>
          <w:i/>
          <w:iCs/>
        </w:rPr>
        <w:t>From data processing</w:t>
      </w:r>
      <w:r w:rsidRPr="00F96A0C">
        <w:rPr>
          <w:rFonts w:ascii="Times New Roman" w:hAnsi="Times New Roman" w:cs="Times New Roman"/>
          <w:i/>
          <w:iCs/>
        </w:rPr>
        <w:t xml:space="preserve"> to mental organs: An interdisciplinary path to cognitive neuroscience</w:t>
      </w:r>
      <w:r w:rsidRPr="00F96A0C">
        <w:rPr>
          <w:rFonts w:ascii="Times New Roman" w:hAnsi="Times New Roman" w:cs="Times New Roman"/>
        </w:rPr>
        <w:t>.  In: Brain, Mind and Consciousness: An International, Interdisciplinary Perspective (A.R. Singh and S.A. Singh eds.), MSM, 9(1), p 218-224.</w:t>
      </w:r>
    </w:p>
    <w:p w14:paraId="6A0278BA" w14:textId="77777777" w:rsidR="00FA64D3" w:rsidRPr="00F96A0C" w:rsidRDefault="00FA64D3" w:rsidP="00095F0C">
      <w:pPr>
        <w:spacing w:line="480" w:lineRule="auto"/>
        <w:rPr>
          <w:rFonts w:ascii="Times New Roman" w:hAnsi="Times New Roman" w:cs="Times New Roman"/>
        </w:rPr>
      </w:pPr>
      <w:r w:rsidRPr="00F96A0C">
        <w:rPr>
          <w:rFonts w:ascii="Times New Roman" w:hAnsi="Times New Roman" w:cs="Times New Roman"/>
        </w:rPr>
        <w:t xml:space="preserve">Perkins, D.N. (2009). </w:t>
      </w:r>
      <w:r w:rsidRPr="00F96A0C">
        <w:rPr>
          <w:rFonts w:ascii="Times New Roman" w:hAnsi="Times New Roman" w:cs="Times New Roman"/>
          <w:i/>
          <w:iCs/>
        </w:rPr>
        <w:t xml:space="preserve">Making learning whole: How seven principles of teaching can transform </w:t>
      </w:r>
      <w:r w:rsidRPr="00F96A0C">
        <w:rPr>
          <w:rFonts w:ascii="Times New Roman" w:hAnsi="Times New Roman" w:cs="Times New Roman"/>
          <w:i/>
          <w:iCs/>
        </w:rPr>
        <w:tab/>
        <w:t>education</w:t>
      </w:r>
      <w:r w:rsidRPr="00F96A0C">
        <w:rPr>
          <w:rFonts w:ascii="Times New Roman" w:hAnsi="Times New Roman" w:cs="Times New Roman"/>
        </w:rPr>
        <w:t>.  San Francisco, CA: Jossey-Bass.</w:t>
      </w:r>
    </w:p>
    <w:p w14:paraId="7FCD262C" w14:textId="77777777" w:rsidR="009146C1" w:rsidRPr="009146C1" w:rsidRDefault="009146C1" w:rsidP="00095F0C">
      <w:pPr>
        <w:spacing w:line="480" w:lineRule="auto"/>
        <w:ind w:left="720" w:hanging="720"/>
        <w:rPr>
          <w:rFonts w:ascii="Times New Roman" w:eastAsia="Times New Roman" w:hAnsi="Times New Roman" w:cs="Times New Roman"/>
        </w:rPr>
      </w:pPr>
      <w:r w:rsidRPr="009146C1">
        <w:rPr>
          <w:rFonts w:ascii="Times New Roman" w:eastAsia="Times New Roman" w:hAnsi="Times New Roman" w:cs="Times New Roman"/>
          <w:i/>
          <w:iCs/>
        </w:rPr>
        <w:t>Teaching problem-solving skills</w:t>
      </w:r>
      <w:r>
        <w:rPr>
          <w:rFonts w:ascii="Times New Roman" w:eastAsia="Times New Roman" w:hAnsi="Times New Roman" w:cs="Times New Roman"/>
        </w:rPr>
        <w:t xml:space="preserve">. (n.d.).  Centre for Teaching Excellence.  University of Waterloo. Retrieved from: </w:t>
      </w:r>
      <w:hyperlink r:id="rId7" w:history="1">
        <w:r w:rsidRPr="009146C1">
          <w:rPr>
            <w:rFonts w:ascii="Times New Roman" w:eastAsia="Times New Roman" w:hAnsi="Times New Roman" w:cs="Times New Roman"/>
            <w:color w:val="0000FF"/>
            <w:u w:val="single"/>
          </w:rPr>
          <w:t>https://uwaterloo.ca/centre-for-teaching-excellence/teaching-resources/teaching-tips/developing-assignments/cross-discipline-skills/teaching-problem-solving-skills</w:t>
        </w:r>
      </w:hyperlink>
    </w:p>
    <w:p w14:paraId="10726B29" w14:textId="77777777" w:rsidR="008D3B54" w:rsidRDefault="008D3B54" w:rsidP="008D3B54">
      <w:pPr>
        <w:spacing w:line="480" w:lineRule="auto"/>
        <w:ind w:left="720" w:hanging="720"/>
        <w:rPr>
          <w:rFonts w:ascii="Times New Roman" w:eastAsia="Times New Roman" w:hAnsi="Times New Roman" w:cs="Times New Roman"/>
          <w:color w:val="0000FF"/>
          <w:u w:val="single"/>
        </w:rPr>
      </w:pPr>
      <w:r w:rsidRPr="00B10EC7">
        <w:rPr>
          <w:rFonts w:ascii="Times New Roman" w:hAnsi="Times New Roman" w:cs="Times New Roman"/>
        </w:rPr>
        <w:t xml:space="preserve">Thagard, Paul (2019).  Cognitive Science. The Stanford Encyclopedia of Philosophy, Spring Ed. Retrieved from: </w:t>
      </w:r>
      <w:hyperlink r:id="rId8" w:history="1">
        <w:r w:rsidRPr="00B10EC7">
          <w:rPr>
            <w:rFonts w:ascii="Times New Roman" w:eastAsia="Times New Roman" w:hAnsi="Times New Roman" w:cs="Times New Roman"/>
            <w:color w:val="0000FF"/>
            <w:u w:val="single"/>
          </w:rPr>
          <w:t>https://plato.stanford.edu/entries/cognitive-science/</w:t>
        </w:r>
      </w:hyperlink>
    </w:p>
    <w:p w14:paraId="06363E58" w14:textId="2B99EEF1" w:rsidR="00FA64D3" w:rsidRPr="00B10EC7" w:rsidRDefault="00FA64D3" w:rsidP="00095F0C">
      <w:pPr>
        <w:spacing w:line="480" w:lineRule="auto"/>
        <w:ind w:left="720" w:hanging="720"/>
        <w:rPr>
          <w:rFonts w:ascii="Times New Roman" w:eastAsia="Times New Roman" w:hAnsi="Times New Roman" w:cs="Times New Roman"/>
        </w:rPr>
      </w:pPr>
    </w:p>
    <w:p w14:paraId="6F2DA298" w14:textId="77777777" w:rsidR="00781896" w:rsidRPr="00781896" w:rsidRDefault="00781896" w:rsidP="00781896">
      <w:pPr>
        <w:spacing w:line="480" w:lineRule="auto"/>
        <w:rPr>
          <w:rFonts w:ascii="Times New Roman" w:hAnsi="Times New Roman" w:cs="Times New Roman"/>
        </w:rPr>
      </w:pPr>
      <w:bookmarkStart w:id="0" w:name="_GoBack"/>
      <w:bookmarkEnd w:id="0"/>
    </w:p>
    <w:sectPr w:rsidR="00781896" w:rsidRPr="00781896" w:rsidSect="0034566A">
      <w:headerReference w:type="even" r:id="rId9"/>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F90D61" w14:textId="77777777" w:rsidR="00CA211E" w:rsidRDefault="00CA211E" w:rsidP="0034566A">
      <w:r>
        <w:separator/>
      </w:r>
    </w:p>
  </w:endnote>
  <w:endnote w:type="continuationSeparator" w:id="0">
    <w:p w14:paraId="3E9A6DD3" w14:textId="77777777" w:rsidR="00CA211E" w:rsidRDefault="00CA211E" w:rsidP="003456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854B8B" w14:textId="77777777" w:rsidR="00CA211E" w:rsidRDefault="00CA211E" w:rsidP="0034566A">
      <w:r>
        <w:separator/>
      </w:r>
    </w:p>
  </w:footnote>
  <w:footnote w:type="continuationSeparator" w:id="0">
    <w:p w14:paraId="20B5E184" w14:textId="77777777" w:rsidR="00CA211E" w:rsidRDefault="00CA211E" w:rsidP="003456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88737935"/>
      <w:docPartObj>
        <w:docPartGallery w:val="Page Numbers (Top of Page)"/>
        <w:docPartUnique/>
      </w:docPartObj>
    </w:sdtPr>
    <w:sdtEndPr>
      <w:rPr>
        <w:rStyle w:val="PageNumber"/>
      </w:rPr>
    </w:sdtEndPr>
    <w:sdtContent>
      <w:p w14:paraId="6A291584" w14:textId="2840D0D3" w:rsidR="0034566A" w:rsidRDefault="0034566A" w:rsidP="00891B9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84F7562" w14:textId="77777777" w:rsidR="0034566A" w:rsidRDefault="0034566A" w:rsidP="0034566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37460319"/>
      <w:docPartObj>
        <w:docPartGallery w:val="Page Numbers (Top of Page)"/>
        <w:docPartUnique/>
      </w:docPartObj>
    </w:sdtPr>
    <w:sdtEndPr>
      <w:rPr>
        <w:rStyle w:val="PageNumber"/>
      </w:rPr>
    </w:sdtEndPr>
    <w:sdtContent>
      <w:p w14:paraId="19706B40" w14:textId="608B1C69" w:rsidR="0034566A" w:rsidRDefault="0034566A" w:rsidP="00891B9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C9B1048" w14:textId="19861BFA" w:rsidR="0034566A" w:rsidRDefault="0034566A" w:rsidP="0034566A">
    <w:pPr>
      <w:pStyle w:val="Header"/>
      <w:ind w:right="360"/>
    </w:pPr>
    <w:r>
      <w:t>Final Project</w:t>
    </w:r>
  </w:p>
  <w:p w14:paraId="475B49AD" w14:textId="77777777" w:rsidR="0034566A" w:rsidRDefault="0034566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90785176"/>
      <w:docPartObj>
        <w:docPartGallery w:val="Page Numbers (Top of Page)"/>
        <w:docPartUnique/>
      </w:docPartObj>
    </w:sdtPr>
    <w:sdtEndPr>
      <w:rPr>
        <w:rStyle w:val="PageNumber"/>
      </w:rPr>
    </w:sdtEndPr>
    <w:sdtContent>
      <w:p w14:paraId="7D8DCE48" w14:textId="481930D6" w:rsidR="0034566A" w:rsidRDefault="0034566A" w:rsidP="00891B9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7FE4024" w14:textId="2EF2614A" w:rsidR="0034566A" w:rsidRDefault="0034566A" w:rsidP="0034566A">
    <w:pPr>
      <w:pStyle w:val="Header"/>
      <w:ind w:right="360"/>
    </w:pPr>
    <w:r>
      <w:t>Running Head: FINAL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896"/>
    <w:rsid w:val="00015904"/>
    <w:rsid w:val="000614C5"/>
    <w:rsid w:val="000775FA"/>
    <w:rsid w:val="00095F0C"/>
    <w:rsid w:val="000E3182"/>
    <w:rsid w:val="00106CA8"/>
    <w:rsid w:val="0015211B"/>
    <w:rsid w:val="001C0770"/>
    <w:rsid w:val="0028233E"/>
    <w:rsid w:val="002B63AB"/>
    <w:rsid w:val="0034566A"/>
    <w:rsid w:val="003A6997"/>
    <w:rsid w:val="00406F7B"/>
    <w:rsid w:val="00415764"/>
    <w:rsid w:val="004749C4"/>
    <w:rsid w:val="00650144"/>
    <w:rsid w:val="00781896"/>
    <w:rsid w:val="008655A4"/>
    <w:rsid w:val="008D3B54"/>
    <w:rsid w:val="009146C1"/>
    <w:rsid w:val="009A3851"/>
    <w:rsid w:val="00B55530"/>
    <w:rsid w:val="00CA1A4C"/>
    <w:rsid w:val="00CA211E"/>
    <w:rsid w:val="00E63D4F"/>
    <w:rsid w:val="00F3018E"/>
    <w:rsid w:val="00F82882"/>
    <w:rsid w:val="00FA1C20"/>
    <w:rsid w:val="00FA6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68624"/>
  <w15:chartTrackingRefBased/>
  <w15:docId w15:val="{9121B3CE-42C9-8542-8CD9-4BB2FC9C5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818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4566A"/>
    <w:pPr>
      <w:tabs>
        <w:tab w:val="center" w:pos="4680"/>
        <w:tab w:val="right" w:pos="9360"/>
      </w:tabs>
    </w:pPr>
  </w:style>
  <w:style w:type="character" w:customStyle="1" w:styleId="HeaderChar">
    <w:name w:val="Header Char"/>
    <w:basedOn w:val="DefaultParagraphFont"/>
    <w:link w:val="Header"/>
    <w:uiPriority w:val="99"/>
    <w:rsid w:val="0034566A"/>
  </w:style>
  <w:style w:type="paragraph" w:styleId="Footer">
    <w:name w:val="footer"/>
    <w:basedOn w:val="Normal"/>
    <w:link w:val="FooterChar"/>
    <w:uiPriority w:val="99"/>
    <w:unhideWhenUsed/>
    <w:rsid w:val="0034566A"/>
    <w:pPr>
      <w:tabs>
        <w:tab w:val="center" w:pos="4680"/>
        <w:tab w:val="right" w:pos="9360"/>
      </w:tabs>
    </w:pPr>
  </w:style>
  <w:style w:type="character" w:customStyle="1" w:styleId="FooterChar">
    <w:name w:val="Footer Char"/>
    <w:basedOn w:val="DefaultParagraphFont"/>
    <w:link w:val="Footer"/>
    <w:uiPriority w:val="99"/>
    <w:rsid w:val="0034566A"/>
  </w:style>
  <w:style w:type="character" w:styleId="PageNumber">
    <w:name w:val="page number"/>
    <w:basedOn w:val="DefaultParagraphFont"/>
    <w:uiPriority w:val="99"/>
    <w:semiHidden/>
    <w:unhideWhenUsed/>
    <w:rsid w:val="0034566A"/>
  </w:style>
  <w:style w:type="character" w:styleId="Hyperlink">
    <w:name w:val="Hyperlink"/>
    <w:basedOn w:val="DefaultParagraphFont"/>
    <w:uiPriority w:val="99"/>
    <w:unhideWhenUsed/>
    <w:rsid w:val="009146C1"/>
    <w:rPr>
      <w:color w:val="0000FF"/>
      <w:u w:val="single"/>
    </w:rPr>
  </w:style>
  <w:style w:type="character" w:styleId="UnresolvedMention">
    <w:name w:val="Unresolved Mention"/>
    <w:basedOn w:val="DefaultParagraphFont"/>
    <w:uiPriority w:val="99"/>
    <w:semiHidden/>
    <w:unhideWhenUsed/>
    <w:rsid w:val="00095F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2934181">
      <w:bodyDiv w:val="1"/>
      <w:marLeft w:val="0"/>
      <w:marRight w:val="0"/>
      <w:marTop w:val="0"/>
      <w:marBottom w:val="0"/>
      <w:divBdr>
        <w:top w:val="none" w:sz="0" w:space="0" w:color="auto"/>
        <w:left w:val="none" w:sz="0" w:space="0" w:color="auto"/>
        <w:bottom w:val="none" w:sz="0" w:space="0" w:color="auto"/>
        <w:right w:val="none" w:sz="0" w:space="0" w:color="auto"/>
      </w:divBdr>
    </w:div>
    <w:div w:id="796726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to.stanford.edu/entries/cognitive-science/"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uwaterloo.ca/centre-for-teaching-excellence/teaching-resources/teaching-tips/developing-assignments/cross-discipline-skills/teaching-problem-solving-skills"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eachhub.com/top-12-ways-bring-real-world-your-classro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TotalTime>
  <Pages>10</Pages>
  <Words>2033</Words>
  <Characters>11594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8</cp:revision>
  <dcterms:created xsi:type="dcterms:W3CDTF">2019-10-09T18:15:00Z</dcterms:created>
  <dcterms:modified xsi:type="dcterms:W3CDTF">2019-10-14T21:14:00Z</dcterms:modified>
</cp:coreProperties>
</file>