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26178" w14:textId="4502344D" w:rsidR="00B21DC5" w:rsidRDefault="00B21DC5"/>
    <w:p w14:paraId="009D438C" w14:textId="2C34EF9C" w:rsidR="00B21DC5" w:rsidRDefault="00B21DC5" w:rsidP="00B21DC5">
      <w:pPr>
        <w:spacing w:line="480" w:lineRule="auto"/>
      </w:pPr>
    </w:p>
    <w:p w14:paraId="05D8EB6C" w14:textId="6DCC529B" w:rsidR="00B21DC5" w:rsidRDefault="00B21DC5" w:rsidP="00B21DC5">
      <w:pPr>
        <w:spacing w:line="480" w:lineRule="auto"/>
      </w:pPr>
    </w:p>
    <w:p w14:paraId="5289E7A0" w14:textId="0F87C928" w:rsidR="00B21DC5" w:rsidRDefault="00B21DC5" w:rsidP="00B21DC5">
      <w:pPr>
        <w:spacing w:line="480" w:lineRule="auto"/>
      </w:pPr>
    </w:p>
    <w:p w14:paraId="673CC9D0" w14:textId="221718F1" w:rsidR="00B21DC5" w:rsidRDefault="00B21DC5" w:rsidP="00B21DC5">
      <w:pPr>
        <w:spacing w:line="480" w:lineRule="auto"/>
      </w:pPr>
    </w:p>
    <w:p w14:paraId="3AE13B82" w14:textId="6DB4C9C2" w:rsidR="00B21DC5" w:rsidRDefault="00B21DC5" w:rsidP="00B21DC5">
      <w:pPr>
        <w:spacing w:line="480" w:lineRule="auto"/>
      </w:pPr>
    </w:p>
    <w:p w14:paraId="4BAD1668" w14:textId="4A41623B" w:rsidR="00B21DC5" w:rsidRDefault="00B21DC5" w:rsidP="00B21DC5">
      <w:pPr>
        <w:spacing w:line="480" w:lineRule="auto"/>
      </w:pPr>
    </w:p>
    <w:p w14:paraId="49625217" w14:textId="4E3C98C3" w:rsidR="00B21DC5" w:rsidRDefault="00B21DC5" w:rsidP="00B21DC5">
      <w:pPr>
        <w:spacing w:line="480" w:lineRule="auto"/>
        <w:jc w:val="center"/>
      </w:pPr>
      <w:r>
        <w:t>Application of the Mental Representations</w:t>
      </w:r>
    </w:p>
    <w:p w14:paraId="05BD4896" w14:textId="792914EE" w:rsidR="00B21DC5" w:rsidRDefault="00B21DC5" w:rsidP="00B21DC5">
      <w:pPr>
        <w:spacing w:line="480" w:lineRule="auto"/>
        <w:jc w:val="center"/>
      </w:pPr>
      <w:r>
        <w:t>Tracy Collamore</w:t>
      </w:r>
    </w:p>
    <w:p w14:paraId="3814F0B0" w14:textId="1EDD0587" w:rsidR="00B21DC5" w:rsidRDefault="00B21DC5" w:rsidP="00B21DC5">
      <w:pPr>
        <w:spacing w:line="480" w:lineRule="auto"/>
        <w:jc w:val="center"/>
      </w:pPr>
      <w:r>
        <w:t>Post University</w:t>
      </w:r>
    </w:p>
    <w:p w14:paraId="3FD5F8E3" w14:textId="6E628DC6" w:rsidR="00B21DC5" w:rsidRDefault="00B21DC5">
      <w:r>
        <w:br w:type="page"/>
      </w:r>
    </w:p>
    <w:p w14:paraId="2AD5E544" w14:textId="1BAB8EFD" w:rsidR="00B21DC5" w:rsidRPr="00A859EA" w:rsidRDefault="002D3DDD" w:rsidP="00A859EA">
      <w:pPr>
        <w:spacing w:line="480" w:lineRule="auto"/>
        <w:jc w:val="center"/>
        <w:rPr>
          <w:b/>
          <w:bCs/>
        </w:rPr>
      </w:pPr>
      <w:r w:rsidRPr="002D3DDD">
        <w:rPr>
          <w:b/>
          <w:bCs/>
        </w:rPr>
        <w:lastRenderedPageBreak/>
        <w:t>Part 1: Analysis &amp; Application</w:t>
      </w:r>
    </w:p>
    <w:tbl>
      <w:tblPr>
        <w:tblStyle w:val="TableGrid"/>
        <w:tblW w:w="0" w:type="auto"/>
        <w:tblLook w:val="04A0" w:firstRow="1" w:lastRow="0" w:firstColumn="1" w:lastColumn="0" w:noHBand="0" w:noVBand="1"/>
      </w:tblPr>
      <w:tblGrid>
        <w:gridCol w:w="3116"/>
        <w:gridCol w:w="3117"/>
        <w:gridCol w:w="3117"/>
      </w:tblGrid>
      <w:tr w:rsidR="00440BCE" w:rsidRPr="00440BCE" w14:paraId="5B2205BE" w14:textId="77777777" w:rsidTr="00896769">
        <w:tc>
          <w:tcPr>
            <w:tcW w:w="3116" w:type="dxa"/>
          </w:tcPr>
          <w:p w14:paraId="766C0B45" w14:textId="549B9179" w:rsidR="00440BCE" w:rsidRPr="00440BCE" w:rsidRDefault="00440BCE" w:rsidP="00440BCE">
            <w:pPr>
              <w:spacing w:line="480" w:lineRule="auto"/>
              <w:jc w:val="center"/>
              <w:rPr>
                <w:b/>
                <w:bCs/>
              </w:rPr>
            </w:pPr>
            <w:r w:rsidRPr="00440BCE">
              <w:rPr>
                <w:b/>
                <w:bCs/>
              </w:rPr>
              <w:t>Definition</w:t>
            </w:r>
          </w:p>
        </w:tc>
        <w:tc>
          <w:tcPr>
            <w:tcW w:w="3117" w:type="dxa"/>
          </w:tcPr>
          <w:p w14:paraId="5E7A4E2F" w14:textId="77777777" w:rsidR="00440BCE" w:rsidRDefault="00440BCE" w:rsidP="00440BCE">
            <w:pPr>
              <w:spacing w:line="480" w:lineRule="auto"/>
              <w:jc w:val="center"/>
              <w:rPr>
                <w:b/>
                <w:bCs/>
              </w:rPr>
            </w:pPr>
            <w:r w:rsidRPr="00440BCE">
              <w:rPr>
                <w:b/>
                <w:bCs/>
              </w:rPr>
              <w:t>Example</w:t>
            </w:r>
          </w:p>
          <w:p w14:paraId="29F944AA" w14:textId="3DE53145" w:rsidR="009678E9" w:rsidRPr="00440BCE" w:rsidRDefault="009678E9" w:rsidP="00440BCE">
            <w:pPr>
              <w:spacing w:line="480" w:lineRule="auto"/>
              <w:jc w:val="center"/>
              <w:rPr>
                <w:b/>
                <w:bCs/>
              </w:rPr>
            </w:pPr>
            <w:r>
              <w:rPr>
                <w:b/>
                <w:bCs/>
              </w:rPr>
              <w:t>When/Where/How/Why</w:t>
            </w:r>
          </w:p>
        </w:tc>
        <w:tc>
          <w:tcPr>
            <w:tcW w:w="3117" w:type="dxa"/>
          </w:tcPr>
          <w:p w14:paraId="5ACBE521" w14:textId="52B9F9BF" w:rsidR="00440BCE" w:rsidRPr="00440BCE" w:rsidRDefault="00440BCE" w:rsidP="00440BCE">
            <w:pPr>
              <w:spacing w:line="480" w:lineRule="auto"/>
              <w:jc w:val="center"/>
              <w:rPr>
                <w:b/>
                <w:bCs/>
              </w:rPr>
            </w:pPr>
            <w:r w:rsidRPr="00440BCE">
              <w:rPr>
                <w:b/>
                <w:bCs/>
              </w:rPr>
              <w:t>Strategies</w:t>
            </w:r>
          </w:p>
        </w:tc>
      </w:tr>
      <w:tr w:rsidR="00B21DC5" w14:paraId="67FA4E11" w14:textId="77777777" w:rsidTr="00B21DC5">
        <w:tc>
          <w:tcPr>
            <w:tcW w:w="3116" w:type="dxa"/>
          </w:tcPr>
          <w:p w14:paraId="63908C18" w14:textId="09F60032" w:rsidR="00B21DC5" w:rsidRDefault="00B21DC5" w:rsidP="00B21DC5">
            <w:pPr>
              <w:spacing w:line="480" w:lineRule="auto"/>
            </w:pPr>
            <w:r>
              <w:t>Logic</w:t>
            </w:r>
            <w:r w:rsidR="004A2D4B">
              <w:t xml:space="preserve"> relies on the learner using pre-existing ideas to problem-solve a current situation.  It is based on the idea that a learner has had enough past experiences to have created a baseline of thoughts.  Logic alone is not always an accurate method of learning as it relies on a learner’s past experiences that may not apply to current problem-solving</w:t>
            </w:r>
            <w:r w:rsidR="009678E9">
              <w:t xml:space="preserve"> situations (Paul Thagard, 2019).</w:t>
            </w:r>
          </w:p>
        </w:tc>
        <w:tc>
          <w:tcPr>
            <w:tcW w:w="3117" w:type="dxa"/>
          </w:tcPr>
          <w:p w14:paraId="3B5B6749" w14:textId="7CD5C9DD" w:rsidR="00B21DC5" w:rsidRDefault="009678E9" w:rsidP="00B21DC5">
            <w:pPr>
              <w:spacing w:line="480" w:lineRule="auto"/>
            </w:pPr>
            <w:r>
              <w:t>Logic doesn’t always come into play in a college-level art class because it assumes the students have had prior art education experiences.  There has been a decline in art education, which started with the 2008-2009 Recession (and subsequent budget cuts) and Common Core in 2010 (Alex Thomas, n.d.).</w:t>
            </w:r>
            <w:r w:rsidR="00257037">
              <w:t xml:space="preserve">  Logic generally comes in a negative form</w:t>
            </w:r>
            <w:r w:rsidR="00D6251A">
              <w:t xml:space="preserve"> in my classroom</w:t>
            </w:r>
            <w:r w:rsidR="00257037">
              <w:t>, where students believe that they aren’t good at art based on limited experiences.  They feel helpless from the beginning</w:t>
            </w:r>
            <w:r w:rsidR="00D6251A">
              <w:t xml:space="preserve"> and</w:t>
            </w:r>
            <w:r w:rsidR="00257037">
              <w:t xml:space="preserve"> they struggle to fight </w:t>
            </w:r>
            <w:r w:rsidR="00257037">
              <w:lastRenderedPageBreak/>
              <w:t>against their own logic because they believe it to be true.</w:t>
            </w:r>
          </w:p>
        </w:tc>
        <w:tc>
          <w:tcPr>
            <w:tcW w:w="3117" w:type="dxa"/>
          </w:tcPr>
          <w:p w14:paraId="3C962AF2" w14:textId="0DF08383" w:rsidR="00B21DC5" w:rsidRDefault="00257037" w:rsidP="00B21DC5">
            <w:pPr>
              <w:spacing w:line="480" w:lineRule="auto"/>
            </w:pPr>
            <w:r>
              <w:lastRenderedPageBreak/>
              <w:t>To overcome the common presence of negative logic a</w:t>
            </w:r>
            <w:r w:rsidR="00D6251A">
              <w:t>s it relates to</w:t>
            </w:r>
            <w:r>
              <w:t xml:space="preserve"> artistic ability, instruction starts at a fundamental level.  Practicing art making techniques without adding the pressure of creating something attractive.  Drawing can be a practice in mark-making in a variety of materials.  Painting starts with color theory and paint mixing, where all of the work is done on the palette.  Early assignments include playing up individual strengths of each student: if a student is strong in science, they can focus on color </w:t>
            </w:r>
            <w:r>
              <w:lastRenderedPageBreak/>
              <w:t>theory.  If it’s history, art history can be used to create relationships between the past and the current day.  And for the rare student with positive art experiences, assignments can be altered to accommodate their abilities.</w:t>
            </w:r>
          </w:p>
        </w:tc>
      </w:tr>
      <w:tr w:rsidR="00B21DC5" w14:paraId="149C972F" w14:textId="77777777" w:rsidTr="00B21DC5">
        <w:tc>
          <w:tcPr>
            <w:tcW w:w="3116" w:type="dxa"/>
          </w:tcPr>
          <w:p w14:paraId="0891DF4F" w14:textId="69CF9433" w:rsidR="00B21DC5" w:rsidRDefault="00B21DC5" w:rsidP="00B21DC5">
            <w:pPr>
              <w:spacing w:line="480" w:lineRule="auto"/>
            </w:pPr>
            <w:r>
              <w:t>Rules</w:t>
            </w:r>
            <w:r w:rsidR="004A2D4B">
              <w:t xml:space="preserve"> are based on the formula “if” and “then”</w:t>
            </w:r>
            <w:r w:rsidR="000471AF">
              <w:t>.  Rules are more structured in its methodology and are the foundation of developing artificial intelligence.  There are limitations to solely relying on rules as it does not measure personal emotions or experiences</w:t>
            </w:r>
            <w:r w:rsidR="009678E9">
              <w:t xml:space="preserve"> </w:t>
            </w:r>
            <w:r w:rsidR="009678E9">
              <w:t>(Paul Thagard, 2019).</w:t>
            </w:r>
          </w:p>
        </w:tc>
        <w:tc>
          <w:tcPr>
            <w:tcW w:w="3117" w:type="dxa"/>
          </w:tcPr>
          <w:p w14:paraId="5F309A36" w14:textId="008EFDFC" w:rsidR="00B21DC5" w:rsidRDefault="00257037" w:rsidP="00B21DC5">
            <w:pPr>
              <w:spacing w:line="480" w:lineRule="auto"/>
            </w:pPr>
            <w:r>
              <w:t xml:space="preserve">Rules are an easy method of teaching in art classes which helps the students understand complex ideas with direct instruction.  For example, if you press hard with a pencil, then your line will be darker.  If you mix yellow and blue paint, then you get green.  Rules are used from the beginning of class to help break down the complexities of art.  Rules </w:t>
            </w:r>
            <w:r>
              <w:lastRenderedPageBreak/>
              <w:t xml:space="preserve">can be built upon throughout the semester to further enhance their learning. And, using a system of rules, where they start simple and become complex,  helps </w:t>
            </w:r>
            <w:r w:rsidR="00D6251A">
              <w:t xml:space="preserve">to </w:t>
            </w:r>
            <w:r>
              <w:t>structure the information in easy-to-digest bites.</w:t>
            </w:r>
          </w:p>
        </w:tc>
        <w:tc>
          <w:tcPr>
            <w:tcW w:w="3117" w:type="dxa"/>
          </w:tcPr>
          <w:p w14:paraId="6698F284" w14:textId="270AB291" w:rsidR="00B21DC5" w:rsidRDefault="00257037" w:rsidP="00B21DC5">
            <w:pPr>
              <w:spacing w:line="480" w:lineRule="auto"/>
            </w:pPr>
            <w:r>
              <w:lastRenderedPageBreak/>
              <w:t xml:space="preserve">Rules start from day one in an art class and </w:t>
            </w:r>
            <w:r w:rsidR="002F3A87">
              <w:t xml:space="preserve">develop throughout the semester.  First, rules of how to mix simple paint colors are introduced first.  Practice mixing colors on a palette before actually painting anything is a good start for the students.  More complex rules of color mixing are introduced throughout the course.  Even having rules of </w:t>
            </w:r>
            <w:r w:rsidR="002F3A87">
              <w:lastRenderedPageBreak/>
              <w:t>how to use a paintbrush helps: If you use this brush and twist your wrist, then you will easily create a leaf shape.</w:t>
            </w:r>
          </w:p>
        </w:tc>
      </w:tr>
      <w:tr w:rsidR="00B21DC5" w14:paraId="46C0FC84" w14:textId="77777777" w:rsidTr="00B21DC5">
        <w:tc>
          <w:tcPr>
            <w:tcW w:w="3116" w:type="dxa"/>
          </w:tcPr>
          <w:p w14:paraId="5660A8C2" w14:textId="1BF3F2A3" w:rsidR="00B21DC5" w:rsidRDefault="00B21DC5" w:rsidP="00B21DC5">
            <w:pPr>
              <w:spacing w:line="480" w:lineRule="auto"/>
            </w:pPr>
            <w:r>
              <w:t>Concepts</w:t>
            </w:r>
            <w:r w:rsidR="000471AF">
              <w:t xml:space="preserve"> are a more adaptable mental representation</w:t>
            </w:r>
            <w:r w:rsidR="00F5331F">
              <w:t xml:space="preserve"> and better represent the adaptability of mental thought as it applies to learning.  Concepts can represent both computational and psychological brain activity.  Multiple features work together to target both rules and logic</w:t>
            </w:r>
            <w:r w:rsidR="009678E9">
              <w:t xml:space="preserve"> </w:t>
            </w:r>
            <w:r w:rsidR="009678E9">
              <w:t>(Paul Thagard, 2019).</w:t>
            </w:r>
          </w:p>
        </w:tc>
        <w:tc>
          <w:tcPr>
            <w:tcW w:w="3117" w:type="dxa"/>
          </w:tcPr>
          <w:p w14:paraId="55370DA4" w14:textId="649B0830" w:rsidR="00B21DC5" w:rsidRDefault="002F3A87" w:rsidP="00B21DC5">
            <w:pPr>
              <w:spacing w:line="480" w:lineRule="auto"/>
            </w:pPr>
            <w:r>
              <w:t>Concepts develop naturally in a college-level art class and helps the learners to understand this new subject.  Since most students don’t have prior art experience (or logic of it), concepts create an opportunity to create new ideas on learning.  Using the foundation of the rules, concepts such as color theory, composition, style, and narrative</w:t>
            </w:r>
            <w:r w:rsidR="00941594">
              <w:t xml:space="preserve"> can be </w:t>
            </w:r>
            <w:r w:rsidR="00941594">
              <w:lastRenderedPageBreak/>
              <w:t>introduced through various art projects.</w:t>
            </w:r>
          </w:p>
        </w:tc>
        <w:tc>
          <w:tcPr>
            <w:tcW w:w="3117" w:type="dxa"/>
          </w:tcPr>
          <w:p w14:paraId="3C132D63" w14:textId="7BB63561" w:rsidR="00B21DC5" w:rsidRDefault="00941594" w:rsidP="00B21DC5">
            <w:pPr>
              <w:spacing w:line="480" w:lineRule="auto"/>
            </w:pPr>
            <w:r>
              <w:lastRenderedPageBreak/>
              <w:t xml:space="preserve">Once rules are established on mixing colors, the concept of color theory can be introduced through art assignments, readings, and scientific research.  Relationships on color wheels are described, and interactive color wheels that show what colors to use to mix the desired color are a hands-on approach to learning.  A strategy for teaching composition can </w:t>
            </w:r>
            <w:r>
              <w:lastRenderedPageBreak/>
              <w:t>simply be taking the work and turning it upside down.  The student can see the “holes” in the composition by looking past what the image describes.</w:t>
            </w:r>
          </w:p>
        </w:tc>
      </w:tr>
      <w:tr w:rsidR="00B21DC5" w14:paraId="2030483C" w14:textId="77777777" w:rsidTr="00B21DC5">
        <w:tc>
          <w:tcPr>
            <w:tcW w:w="3116" w:type="dxa"/>
          </w:tcPr>
          <w:p w14:paraId="74A42DB7" w14:textId="2AC21251" w:rsidR="00B21DC5" w:rsidRDefault="00B21DC5" w:rsidP="00B21DC5">
            <w:pPr>
              <w:spacing w:line="480" w:lineRule="auto"/>
            </w:pPr>
            <w:r>
              <w:t>Analogies/Cases</w:t>
            </w:r>
            <w:r w:rsidR="00F5331F">
              <w:t xml:space="preserve"> represent the diversity of human thinking in terms of problem-solving and expl</w:t>
            </w:r>
            <w:r w:rsidR="00A859EA">
              <w:t>a</w:t>
            </w:r>
            <w:r w:rsidR="00F5331F">
              <w:t>nations.  Based on language-based representation, analogies can be described as how the human brain stores and retrieves information in order to apply prior knowledge to current problem-solving</w:t>
            </w:r>
            <w:r w:rsidR="00F26470">
              <w:t xml:space="preserve"> </w:t>
            </w:r>
            <w:r w:rsidR="00F26470">
              <w:t>(Paul Thagard, 2019).</w:t>
            </w:r>
          </w:p>
        </w:tc>
        <w:tc>
          <w:tcPr>
            <w:tcW w:w="3117" w:type="dxa"/>
          </w:tcPr>
          <w:p w14:paraId="597AB68C" w14:textId="358DC587" w:rsidR="00B21DC5" w:rsidRDefault="00941594" w:rsidP="00B21DC5">
            <w:pPr>
              <w:spacing w:line="480" w:lineRule="auto"/>
            </w:pPr>
            <w:r>
              <w:t xml:space="preserve">College art classes are all about developing new problem-solving skills.  Using verbal explanations to break down artistic ideas plays into a person’s natural capacity to store and retrieve information in the brain.  In addition, hand-on projects help to solidify the students’ new knowledge.  An example of an analogy is comparing/contrasting projects from different students on the same topic.  Verbal critiquing of the work </w:t>
            </w:r>
            <w:r>
              <w:lastRenderedPageBreak/>
              <w:t xml:space="preserve">by the teacher helps the student learn through comparisons.  More importantly, critiquing by the students is practicing verbalizing what they have learned, which helps them </w:t>
            </w:r>
            <w:r w:rsidR="00F26470">
              <w:t>to fully understand the material and retain it for future use.</w:t>
            </w:r>
          </w:p>
        </w:tc>
        <w:tc>
          <w:tcPr>
            <w:tcW w:w="3117" w:type="dxa"/>
          </w:tcPr>
          <w:p w14:paraId="53B9F672" w14:textId="0CDEB487" w:rsidR="00B21DC5" w:rsidRDefault="00F26470" w:rsidP="00B21DC5">
            <w:pPr>
              <w:spacing w:line="480" w:lineRule="auto"/>
            </w:pPr>
            <w:r>
              <w:lastRenderedPageBreak/>
              <w:t xml:space="preserve">In terms of using art critiques as an analogy, the strategy involves encouraging meaningful and positive conversation.  This strategy is not about picking what project is “best.”  It’s about how the students can “see” various approaches to the same problem.  Critique starts with the teacher pointing out how different students used different colors, color combinations, brushstrokes, etc., to create a unique piece.  The teacher </w:t>
            </w:r>
            <w:r>
              <w:lastRenderedPageBreak/>
              <w:t>then encourages the students to engage in meaningful dialog by setting the example for positive re-</w:t>
            </w:r>
            <w:r w:rsidR="00477FA2">
              <w:t>enforcement</w:t>
            </w:r>
            <w:r>
              <w:t>.  This strategy encourages the students to verbalize what they’ve done and what they see in others’ work.</w:t>
            </w:r>
          </w:p>
        </w:tc>
      </w:tr>
      <w:tr w:rsidR="00B21DC5" w14:paraId="7B65E9C8" w14:textId="77777777" w:rsidTr="00B21DC5">
        <w:tc>
          <w:tcPr>
            <w:tcW w:w="3116" w:type="dxa"/>
          </w:tcPr>
          <w:p w14:paraId="774FF0F2" w14:textId="79DD1CDA" w:rsidR="00B21DC5" w:rsidRDefault="00B21DC5" w:rsidP="00B21DC5">
            <w:pPr>
              <w:spacing w:line="480" w:lineRule="auto"/>
            </w:pPr>
            <w:r>
              <w:t>Images</w:t>
            </w:r>
            <w:r w:rsidR="00F5331F">
              <w:t xml:space="preserve"> are a pictorial approach to thinking and learning, but not limited to visual sensory experiences.  The brain process and manipulates images of situations and past experiences.  It is linked to the thinking concept</w:t>
            </w:r>
            <w:r w:rsidR="00A859EA">
              <w:t xml:space="preserve"> of early civilizations using imagery as a form of written language and communication</w:t>
            </w:r>
            <w:r w:rsidR="00F26470">
              <w:t xml:space="preserve"> </w:t>
            </w:r>
            <w:r w:rsidR="00F26470">
              <w:t>(Paul Thagard, 2019).</w:t>
            </w:r>
          </w:p>
        </w:tc>
        <w:tc>
          <w:tcPr>
            <w:tcW w:w="3117" w:type="dxa"/>
          </w:tcPr>
          <w:p w14:paraId="50DB7B3C" w14:textId="776AE8C3" w:rsidR="00B21DC5" w:rsidRDefault="0012321E" w:rsidP="00B21DC5">
            <w:pPr>
              <w:spacing w:line="480" w:lineRule="auto"/>
            </w:pPr>
            <w:r>
              <w:t xml:space="preserve">Images in the art classroom can have quite literal approaches to teaching and learning as well as more abstract.  Students will remember what they learned by creating a painting based on the image of said painting.  However, visual memories of the classroom, the walks on campus to find subject matter, what their palette looked like at the end of </w:t>
            </w:r>
            <w:r>
              <w:lastRenderedPageBreak/>
              <w:t>class, how their brushes are holding up, create visual experiences that go beyond the actual projects.  Encouraging each student to “look” as they go, and to provide verbal clarifications and explanations, help solidify learning through images.</w:t>
            </w:r>
          </w:p>
        </w:tc>
        <w:tc>
          <w:tcPr>
            <w:tcW w:w="3117" w:type="dxa"/>
          </w:tcPr>
          <w:p w14:paraId="0F138870" w14:textId="3B79F61E" w:rsidR="00B21DC5" w:rsidRDefault="0012321E" w:rsidP="00B21DC5">
            <w:pPr>
              <w:spacing w:line="480" w:lineRule="auto"/>
            </w:pPr>
            <w:r>
              <w:lastRenderedPageBreak/>
              <w:t xml:space="preserve">Images in terms of learning is not restricted to visual senses.  They </w:t>
            </w:r>
            <w:r w:rsidR="00424D1E">
              <w:t>also include senses such as emotion, touch, and hearing.  Pla</w:t>
            </w:r>
            <w:r w:rsidR="00D6251A">
              <w:t>y</w:t>
            </w:r>
            <w:r w:rsidR="00424D1E">
              <w:t xml:space="preserve">ing calming music in the classroom creates a positive sensation.  Encouraging students to get their hands dirty with the material helps with learning through touch.  The teacher needs to be aware if any student is </w:t>
            </w:r>
            <w:r w:rsidR="00424D1E">
              <w:lastRenderedPageBreak/>
              <w:t>feeling overwhelmed or stressed and find a way to alleviate that negative feeling in order to achieve a positive learning experience.</w:t>
            </w:r>
          </w:p>
        </w:tc>
      </w:tr>
    </w:tbl>
    <w:p w14:paraId="4AA8108F" w14:textId="45CB8947" w:rsidR="005A1BC7" w:rsidRDefault="005A1BC7" w:rsidP="009678E9">
      <w:pPr>
        <w:spacing w:line="480" w:lineRule="auto"/>
      </w:pPr>
    </w:p>
    <w:p w14:paraId="2C5E35AC" w14:textId="4AB548F6" w:rsidR="009678E9" w:rsidRPr="00984BF0" w:rsidRDefault="00984BF0" w:rsidP="00984BF0">
      <w:pPr>
        <w:spacing w:line="480" w:lineRule="auto"/>
        <w:jc w:val="center"/>
        <w:rPr>
          <w:b/>
          <w:bCs/>
        </w:rPr>
      </w:pPr>
      <w:r w:rsidRPr="00984BF0">
        <w:rPr>
          <w:b/>
          <w:bCs/>
        </w:rPr>
        <w:t>Connections &amp; Reflections</w:t>
      </w:r>
    </w:p>
    <w:p w14:paraId="4797B875" w14:textId="77777777" w:rsidR="00D6251A" w:rsidRDefault="00984BF0" w:rsidP="00DE5F2F">
      <w:pPr>
        <w:spacing w:line="480" w:lineRule="auto"/>
        <w:ind w:firstLine="720"/>
        <w:rPr>
          <w:rFonts w:ascii="Times New Roman" w:hAnsi="Times New Roman" w:cs="Times New Roman"/>
        </w:rPr>
      </w:pPr>
      <w:r w:rsidRPr="00984BF0">
        <w:rPr>
          <w:rFonts w:ascii="Times New Roman" w:hAnsi="Times New Roman" w:cs="Times New Roman"/>
        </w:rPr>
        <w:t>According to Manoj Patharkar (2011)</w:t>
      </w:r>
      <w:r w:rsidR="005D3B20">
        <w:rPr>
          <w:rFonts w:ascii="Times New Roman" w:hAnsi="Times New Roman" w:cs="Times New Roman"/>
        </w:rPr>
        <w:t>, “f</w:t>
      </w:r>
      <w:r w:rsidRPr="00984BF0">
        <w:rPr>
          <w:rFonts w:ascii="Times New Roman" w:hAnsi="Times New Roman" w:cs="Times New Roman"/>
        </w:rPr>
        <w:t>rom the beginning of civilization, people have been conscious of a ‘mind’ which has been considered the origin of all scientific and cultural development (p. 218).</w:t>
      </w:r>
      <w:r w:rsidR="005D3B20">
        <w:rPr>
          <w:rFonts w:ascii="Times New Roman" w:hAnsi="Times New Roman" w:cs="Times New Roman"/>
        </w:rPr>
        <w:t xml:space="preserve">”  Cognitive science has its roots in the philosophy of Aristotle, and art history shows concrete examples of abstract human thought as early as the prehistoric age.  When I started teaching art history several years ago, I saw the relationships between early civilizations and their art, and how it went beyond making pretty pictures.  Art has a way of narrating an entire culture, location, and time period.  Now that I teach studio art classes, I can see how my students have the same capabilities through their own work.  Teaching studio art at the college level incorporates all five of the mental representations described above.  </w:t>
      </w:r>
    </w:p>
    <w:p w14:paraId="7764877F" w14:textId="591428F0" w:rsidR="00984BF0" w:rsidRPr="00DE5F2F" w:rsidRDefault="005D3B20" w:rsidP="00DE5F2F">
      <w:pPr>
        <w:spacing w:line="480" w:lineRule="auto"/>
        <w:ind w:firstLine="720"/>
        <w:rPr>
          <w:rFonts w:ascii="Times New Roman" w:hAnsi="Times New Roman" w:cs="Times New Roman"/>
        </w:rPr>
      </w:pPr>
      <w:r>
        <w:rPr>
          <w:rFonts w:ascii="Times New Roman" w:hAnsi="Times New Roman" w:cs="Times New Roman"/>
        </w:rPr>
        <w:t>Saul McLeod (2018) describes Piaget’s theory on cognitive development as a method of creating a mental roadmap in order to effectively store and retrieve new information</w:t>
      </w:r>
      <w:r w:rsidR="00226CAE">
        <w:rPr>
          <w:rFonts w:ascii="Times New Roman" w:hAnsi="Times New Roman" w:cs="Times New Roman"/>
        </w:rPr>
        <w:t xml:space="preserve">.  In my </w:t>
      </w:r>
      <w:r w:rsidR="00226CAE">
        <w:rPr>
          <w:rFonts w:ascii="Times New Roman" w:hAnsi="Times New Roman" w:cs="Times New Roman"/>
        </w:rPr>
        <w:lastRenderedPageBreak/>
        <w:t xml:space="preserve">work as an art teacher, I have presented new material to my students in a myriad of ways well before I knew what cognitive science was.  Now, I have a clear picture of how my methods of teaching benefit </w:t>
      </w:r>
      <w:r w:rsidR="00226CAE" w:rsidRPr="00DE5F2F">
        <w:rPr>
          <w:rFonts w:ascii="Times New Roman" w:hAnsi="Times New Roman" w:cs="Times New Roman"/>
        </w:rPr>
        <w:t>my students by presenting the material in a way their brains can process it</w:t>
      </w:r>
      <w:r w:rsidR="00D6251A">
        <w:rPr>
          <w:rFonts w:ascii="Times New Roman" w:hAnsi="Times New Roman" w:cs="Times New Roman"/>
        </w:rPr>
        <w:t xml:space="preserve"> based on student age/maturity, motivation, and learning styles</w:t>
      </w:r>
      <w:r w:rsidR="00226CAE" w:rsidRPr="00DE5F2F">
        <w:rPr>
          <w:rFonts w:ascii="Times New Roman" w:hAnsi="Times New Roman" w:cs="Times New Roman"/>
        </w:rPr>
        <w:t>.</w:t>
      </w:r>
    </w:p>
    <w:p w14:paraId="587AF078" w14:textId="3B40400C" w:rsidR="00F23B23" w:rsidRDefault="00DE5F2F" w:rsidP="00DE5F2F">
      <w:pPr>
        <w:spacing w:line="480" w:lineRule="auto"/>
        <w:ind w:firstLine="720"/>
        <w:rPr>
          <w:rFonts w:ascii="Times New Roman" w:hAnsi="Times New Roman" w:cs="Times New Roman"/>
        </w:rPr>
      </w:pPr>
      <w:r>
        <w:rPr>
          <w:rFonts w:ascii="Times New Roman" w:hAnsi="Times New Roman" w:cs="Times New Roman"/>
        </w:rPr>
        <w:t xml:space="preserve">While </w:t>
      </w:r>
      <w:r w:rsidR="00226CAE" w:rsidRPr="00DE5F2F">
        <w:rPr>
          <w:rFonts w:ascii="Times New Roman" w:hAnsi="Times New Roman" w:cs="Times New Roman"/>
        </w:rPr>
        <w:t xml:space="preserve">Piaget’s theory </w:t>
      </w:r>
      <w:r w:rsidR="00477FA2" w:rsidRPr="00DE5F2F">
        <w:rPr>
          <w:rFonts w:ascii="Times New Roman" w:hAnsi="Times New Roman" w:cs="Times New Roman"/>
        </w:rPr>
        <w:t>focuses</w:t>
      </w:r>
      <w:r w:rsidR="00226CAE" w:rsidRPr="00DE5F2F">
        <w:rPr>
          <w:rFonts w:ascii="Times New Roman" w:hAnsi="Times New Roman" w:cs="Times New Roman"/>
        </w:rPr>
        <w:t xml:space="preserve"> on the development of</w:t>
      </w:r>
      <w:r>
        <w:rPr>
          <w:rFonts w:ascii="Times New Roman" w:hAnsi="Times New Roman" w:cs="Times New Roman"/>
        </w:rPr>
        <w:t xml:space="preserve"> </w:t>
      </w:r>
      <w:r w:rsidR="00226CAE" w:rsidRPr="00DE5F2F">
        <w:rPr>
          <w:rFonts w:ascii="Times New Roman" w:hAnsi="Times New Roman" w:cs="Times New Roman"/>
        </w:rPr>
        <w:t>the human brain through childhood</w:t>
      </w:r>
      <w:r w:rsidRPr="00DE5F2F">
        <w:rPr>
          <w:rFonts w:ascii="Times New Roman" w:hAnsi="Times New Roman" w:cs="Times New Roman"/>
        </w:rPr>
        <w:t xml:space="preserve">, </w:t>
      </w:r>
      <w:r w:rsidRPr="00DE5F2F">
        <w:rPr>
          <w:rFonts w:ascii="Times New Roman" w:hAnsi="Times New Roman" w:cs="Times New Roman"/>
        </w:rPr>
        <w:t>there is no doubt that human thinking differs between children and adults.  According to Marcia L. Conner (</w:t>
      </w:r>
      <w:r w:rsidR="00477FA2" w:rsidRPr="00DE5F2F">
        <w:rPr>
          <w:rFonts w:ascii="Times New Roman" w:hAnsi="Times New Roman" w:cs="Times New Roman"/>
        </w:rPr>
        <w:t>n.d.</w:t>
      </w:r>
      <w:r w:rsidRPr="00DE5F2F">
        <w:rPr>
          <w:rFonts w:ascii="Times New Roman" w:hAnsi="Times New Roman" w:cs="Times New Roman"/>
        </w:rPr>
        <w:t>), the differences between the two lie directly in the words themselves and returns to the Ancient philosophies of human thinking.  Pedagogy comes from the ancient Greek word “paid” which literally means “child”</w:t>
      </w:r>
      <w:r>
        <w:rPr>
          <w:rFonts w:ascii="Times New Roman" w:hAnsi="Times New Roman" w:cs="Times New Roman"/>
        </w:rPr>
        <w:t xml:space="preserve"> </w:t>
      </w:r>
      <w:r w:rsidRPr="00DE5F2F">
        <w:rPr>
          <w:rFonts w:ascii="Times New Roman" w:hAnsi="Times New Roman" w:cs="Times New Roman"/>
        </w:rPr>
        <w:t>and has come to mean teacher-led learning</w:t>
      </w:r>
      <w:r w:rsidR="00D6251A">
        <w:rPr>
          <w:rFonts w:ascii="Times New Roman" w:hAnsi="Times New Roman" w:cs="Times New Roman"/>
        </w:rPr>
        <w:t xml:space="preserve"> in early human development</w:t>
      </w:r>
      <w:r w:rsidRPr="00DE5F2F">
        <w:rPr>
          <w:rFonts w:ascii="Times New Roman" w:hAnsi="Times New Roman" w:cs="Times New Roman"/>
        </w:rPr>
        <w:t>.  Andragogy, first defined by Malcolm Knowles</w:t>
      </w:r>
      <w:r w:rsidR="00D6251A">
        <w:rPr>
          <w:rFonts w:ascii="Times New Roman" w:hAnsi="Times New Roman" w:cs="Times New Roman"/>
        </w:rPr>
        <w:t xml:space="preserve"> (1975) </w:t>
      </w:r>
      <w:r w:rsidRPr="00DE5F2F">
        <w:rPr>
          <w:rFonts w:ascii="Times New Roman" w:hAnsi="Times New Roman" w:cs="Times New Roman"/>
        </w:rPr>
        <w:t xml:space="preserve"> as “the art and science of helping adults learn”, has evolved into a broader model based on allowing learners to see for themselves the importance and the connections of the materials before them.  </w:t>
      </w:r>
      <w:r>
        <w:rPr>
          <w:rFonts w:ascii="Times New Roman" w:hAnsi="Times New Roman" w:cs="Times New Roman"/>
        </w:rPr>
        <w:t>In my experience</w:t>
      </w:r>
      <w:r w:rsidRPr="00DE5F2F">
        <w:rPr>
          <w:rFonts w:ascii="Times New Roman" w:hAnsi="Times New Roman" w:cs="Times New Roman"/>
        </w:rPr>
        <w:t>, the emotional development of a child is not equal to that of an adult, and young students may not place as much importance on what is presented to them in the classroom</w:t>
      </w:r>
      <w:r>
        <w:rPr>
          <w:rFonts w:ascii="Times New Roman" w:hAnsi="Times New Roman" w:cs="Times New Roman"/>
        </w:rPr>
        <w:t xml:space="preserve">, especially if they aren’t personally interested in the subject.  In my experience teaching college-age students, I think they are </w:t>
      </w:r>
      <w:r w:rsidR="00477FA2">
        <w:rPr>
          <w:rFonts w:ascii="Times New Roman" w:hAnsi="Times New Roman" w:cs="Times New Roman"/>
        </w:rPr>
        <w:t>straddled</w:t>
      </w:r>
      <w:r>
        <w:rPr>
          <w:rFonts w:ascii="Times New Roman" w:hAnsi="Times New Roman" w:cs="Times New Roman"/>
        </w:rPr>
        <w:t xml:space="preserve"> categorically between pedagogy and andragogy: they are sometimes mature and self-motivated, and sometimes not.  Many are used to the teacher-led learning environment from </w:t>
      </w:r>
      <w:r w:rsidR="00477FA2">
        <w:rPr>
          <w:rFonts w:ascii="Times New Roman" w:hAnsi="Times New Roman" w:cs="Times New Roman"/>
        </w:rPr>
        <w:t>their</w:t>
      </w:r>
      <w:r>
        <w:rPr>
          <w:rFonts w:ascii="Times New Roman" w:hAnsi="Times New Roman" w:cs="Times New Roman"/>
        </w:rPr>
        <w:t xml:space="preserve"> earlier education, yet some like the freedom and adaptability of a student-led environment.  </w:t>
      </w:r>
    </w:p>
    <w:p w14:paraId="5F21ED09" w14:textId="7D1D1967" w:rsidR="00226CAE" w:rsidRDefault="00DE5F2F" w:rsidP="00F23B23">
      <w:pPr>
        <w:spacing w:line="480" w:lineRule="auto"/>
        <w:ind w:firstLine="720"/>
        <w:rPr>
          <w:rFonts w:ascii="Times New Roman" w:hAnsi="Times New Roman" w:cs="Times New Roman"/>
        </w:rPr>
      </w:pPr>
      <w:r>
        <w:rPr>
          <w:rFonts w:ascii="Times New Roman" w:hAnsi="Times New Roman" w:cs="Times New Roman"/>
        </w:rPr>
        <w:t>Motivation</w:t>
      </w:r>
      <w:r w:rsidR="00F23B23">
        <w:rPr>
          <w:rFonts w:ascii="Times New Roman" w:hAnsi="Times New Roman" w:cs="Times New Roman"/>
        </w:rPr>
        <w:t xml:space="preserve"> in any age student is yet another factor in teaching and learning.  </w:t>
      </w:r>
      <w:r w:rsidR="00226CAE" w:rsidRPr="00DE5F2F">
        <w:rPr>
          <w:rFonts w:ascii="Times New Roman" w:hAnsi="Times New Roman" w:cs="Times New Roman"/>
        </w:rPr>
        <w:t>According to Al-Dhamit and Kreishan (2016), there are two styles of motivation in connection to learning: intrinsic and extrinsic.  Intrinsic motivation describes</w:t>
      </w:r>
      <w:r w:rsidR="00226CAE">
        <w:rPr>
          <w:rFonts w:ascii="Times New Roman" w:hAnsi="Times New Roman" w:cs="Times New Roman"/>
        </w:rPr>
        <w:t xml:space="preserve"> a learner who is self-motivated and gains personal satisfaction from the learning experience.  An extrinsic learner is one wh</w:t>
      </w:r>
      <w:r>
        <w:rPr>
          <w:rFonts w:ascii="Times New Roman" w:hAnsi="Times New Roman" w:cs="Times New Roman"/>
        </w:rPr>
        <w:t xml:space="preserve">o is motivated by external factors, such as rewards or punishments.  In my experience, young learners tend to be </w:t>
      </w:r>
      <w:r>
        <w:rPr>
          <w:rFonts w:ascii="Times New Roman" w:hAnsi="Times New Roman" w:cs="Times New Roman"/>
        </w:rPr>
        <w:lastRenderedPageBreak/>
        <w:t xml:space="preserve">more </w:t>
      </w:r>
      <w:r w:rsidR="00477FA2">
        <w:rPr>
          <w:rFonts w:ascii="Times New Roman" w:hAnsi="Times New Roman" w:cs="Times New Roman"/>
        </w:rPr>
        <w:t>extrinsically</w:t>
      </w:r>
      <w:r>
        <w:rPr>
          <w:rFonts w:ascii="Times New Roman" w:hAnsi="Times New Roman" w:cs="Times New Roman"/>
        </w:rPr>
        <w:t xml:space="preserve"> motivated, where adults are </w:t>
      </w:r>
      <w:r w:rsidR="00477FA2">
        <w:rPr>
          <w:rFonts w:ascii="Times New Roman" w:hAnsi="Times New Roman" w:cs="Times New Roman"/>
        </w:rPr>
        <w:t>intrinsic</w:t>
      </w:r>
      <w:r>
        <w:rPr>
          <w:rFonts w:ascii="Times New Roman" w:hAnsi="Times New Roman" w:cs="Times New Roman"/>
        </w:rPr>
        <w:t>.  Teaching college-age kids gives me a bit of both types of motivators, which is usually based on maturity and life-experiences.</w:t>
      </w:r>
    </w:p>
    <w:p w14:paraId="5176533C" w14:textId="06D84697" w:rsidR="00F23B23" w:rsidRDefault="00F23B23" w:rsidP="00F23B23">
      <w:pPr>
        <w:spacing w:line="480" w:lineRule="auto"/>
        <w:ind w:firstLine="720"/>
        <w:rPr>
          <w:rFonts w:ascii="Times New Roman" w:hAnsi="Times New Roman" w:cs="Times New Roman"/>
        </w:rPr>
      </w:pPr>
      <w:r>
        <w:rPr>
          <w:rFonts w:ascii="Times New Roman" w:hAnsi="Times New Roman" w:cs="Times New Roman"/>
        </w:rPr>
        <w:tab/>
        <w:t xml:space="preserve">And then, there’s the theory that each individual has different learning styles, regardless of age.  According to Felder (2002), there a several learning styles and strategies that effectively help with teaching and learning: Active vs. Reflective, Sensing vs. Intuitive, Visual vs. Verbal, and Sequential vs. Global.  Each category reflects a myriad of preferred learning styles with each individual learner.  Taking the Feldman test myself has given me great insight on how I learn best, and why I excelled in some previous classes while struggled in others.  From now on, I wish I could have all of my students take this test at the beginning of every </w:t>
      </w:r>
      <w:r w:rsidR="00477FA2">
        <w:rPr>
          <w:rFonts w:ascii="Times New Roman" w:hAnsi="Times New Roman" w:cs="Times New Roman"/>
        </w:rPr>
        <w:t>semester,</w:t>
      </w:r>
      <w:r>
        <w:rPr>
          <w:rFonts w:ascii="Times New Roman" w:hAnsi="Times New Roman" w:cs="Times New Roman"/>
        </w:rPr>
        <w:t xml:space="preserve"> so I know what I’m working with.  As an art teacher, what I teach falls heavily into a visual </w:t>
      </w:r>
      <w:r w:rsidR="00477FA2">
        <w:rPr>
          <w:rFonts w:ascii="Times New Roman" w:hAnsi="Times New Roman" w:cs="Times New Roman"/>
        </w:rPr>
        <w:t>category</w:t>
      </w:r>
      <w:r>
        <w:rPr>
          <w:rFonts w:ascii="Times New Roman" w:hAnsi="Times New Roman" w:cs="Times New Roman"/>
        </w:rPr>
        <w:t xml:space="preserve"> of learning, and yet, not all of my students learn that way.  By knowing how each of my students learn, I can </w:t>
      </w:r>
      <w:r w:rsidR="00171C5E">
        <w:rPr>
          <w:rFonts w:ascii="Times New Roman" w:hAnsi="Times New Roman" w:cs="Times New Roman"/>
        </w:rPr>
        <w:t>structure my classroom strategies based on their individual strengths.</w:t>
      </w:r>
    </w:p>
    <w:p w14:paraId="0665B3D4" w14:textId="46B9E499" w:rsidR="00171C5E" w:rsidRDefault="00171C5E" w:rsidP="00F23B23">
      <w:pPr>
        <w:spacing w:line="480" w:lineRule="auto"/>
        <w:ind w:firstLine="720"/>
        <w:rPr>
          <w:rFonts w:ascii="Times New Roman" w:hAnsi="Times New Roman" w:cs="Times New Roman"/>
        </w:rPr>
      </w:pPr>
      <w:r>
        <w:rPr>
          <w:rFonts w:ascii="Times New Roman" w:hAnsi="Times New Roman" w:cs="Times New Roman"/>
        </w:rPr>
        <w:t>In conclusion, teaching and learning are categorized by so many cognitive categories: mental representations, age/maturity, motivation, and learning styles.  Throughout my history as a teacher, I have seen when some students “get it” and when others don’t, and I sometimes struggled with getting the message to everyone.  Now, with new knowledge on cognitive science and the studies on teaching and learning strategies, I feel as though I will be better able to pin-point how each student needs the information to be presented in the best way possible for their individual needs.</w:t>
      </w:r>
    </w:p>
    <w:p w14:paraId="64838D08" w14:textId="2BABFB56" w:rsidR="00B10EC7" w:rsidRDefault="00B10EC7">
      <w:pPr>
        <w:rPr>
          <w:rFonts w:ascii="Times New Roman" w:hAnsi="Times New Roman" w:cs="Times New Roman"/>
        </w:rPr>
      </w:pPr>
      <w:r>
        <w:rPr>
          <w:rFonts w:ascii="Times New Roman" w:hAnsi="Times New Roman" w:cs="Times New Roman"/>
        </w:rPr>
        <w:br w:type="page"/>
      </w:r>
    </w:p>
    <w:p w14:paraId="7FD5D7FF" w14:textId="77777777" w:rsidR="00477FA2" w:rsidRDefault="00477FA2" w:rsidP="00F23B23">
      <w:pPr>
        <w:spacing w:line="480" w:lineRule="auto"/>
        <w:ind w:firstLine="720"/>
        <w:rPr>
          <w:rFonts w:ascii="Times New Roman" w:hAnsi="Times New Roman" w:cs="Times New Roman"/>
        </w:rPr>
      </w:pPr>
    </w:p>
    <w:p w14:paraId="3C544259" w14:textId="663C0B3F" w:rsidR="00226CAE" w:rsidRDefault="00B10EC7" w:rsidP="00B10EC7">
      <w:pPr>
        <w:spacing w:line="480" w:lineRule="auto"/>
        <w:ind w:firstLine="720"/>
        <w:jc w:val="center"/>
        <w:rPr>
          <w:rFonts w:ascii="Times New Roman" w:hAnsi="Times New Roman" w:cs="Times New Roman"/>
          <w:b/>
          <w:bCs/>
        </w:rPr>
      </w:pPr>
      <w:r w:rsidRPr="00B10EC7">
        <w:rPr>
          <w:rFonts w:ascii="Times New Roman" w:hAnsi="Times New Roman" w:cs="Times New Roman"/>
          <w:b/>
          <w:bCs/>
        </w:rPr>
        <w:t>References</w:t>
      </w:r>
    </w:p>
    <w:p w14:paraId="28886E71" w14:textId="77777777" w:rsidR="00B10EC7" w:rsidRPr="00B10EC7" w:rsidRDefault="00B10EC7" w:rsidP="00B10EC7">
      <w:pPr>
        <w:spacing w:line="480" w:lineRule="auto"/>
        <w:ind w:firstLine="720"/>
        <w:jc w:val="center"/>
        <w:rPr>
          <w:rFonts w:ascii="Times New Roman" w:hAnsi="Times New Roman" w:cs="Times New Roman"/>
          <w:b/>
          <w:bCs/>
        </w:rPr>
      </w:pPr>
      <w:bookmarkStart w:id="0" w:name="_GoBack"/>
      <w:bookmarkEnd w:id="0"/>
    </w:p>
    <w:p w14:paraId="4BBFC0F9" w14:textId="1D1CB61C" w:rsidR="00F23B23" w:rsidRPr="00B10EC7" w:rsidRDefault="00226CAE" w:rsidP="00B10EC7">
      <w:pPr>
        <w:spacing w:line="480" w:lineRule="auto"/>
        <w:ind w:left="720" w:hanging="720"/>
        <w:rPr>
          <w:rFonts w:ascii="Times New Roman" w:hAnsi="Times New Roman" w:cs="Times New Roman"/>
        </w:rPr>
      </w:pPr>
      <w:r w:rsidRPr="00B10EC7">
        <w:rPr>
          <w:rFonts w:ascii="Times New Roman" w:hAnsi="Times New Roman" w:cs="Times New Roman"/>
        </w:rPr>
        <w:t xml:space="preserve">Al-Dhamit, Y. &amp; Kreishan, L. (2016).  </w:t>
      </w:r>
      <w:r w:rsidRPr="00B10EC7">
        <w:rPr>
          <w:rFonts w:ascii="Times New Roman" w:hAnsi="Times New Roman" w:cs="Times New Roman"/>
          <w:i/>
          <w:iCs/>
        </w:rPr>
        <w:t>Gifted students’ intrinsic and extrinsic motivations and parental influence on their motivation: from the self-determination theory perspective</w:t>
      </w:r>
      <w:r w:rsidRPr="00B10EC7">
        <w:rPr>
          <w:rFonts w:ascii="Times New Roman" w:hAnsi="Times New Roman" w:cs="Times New Roman"/>
        </w:rPr>
        <w:t>.  Journal of Research in Special Educational Needs, 16(1), pp 13-23.</w:t>
      </w:r>
    </w:p>
    <w:p w14:paraId="1BC2AAE8" w14:textId="7183237D" w:rsidR="00DE5F2F" w:rsidRPr="00B10EC7" w:rsidRDefault="00DE5F2F" w:rsidP="00B10EC7">
      <w:pPr>
        <w:spacing w:line="480" w:lineRule="auto"/>
        <w:ind w:left="720" w:hanging="720"/>
        <w:rPr>
          <w:rFonts w:ascii="Times New Roman" w:eastAsia="Times New Roman" w:hAnsi="Times New Roman" w:cs="Times New Roman"/>
        </w:rPr>
      </w:pPr>
      <w:r w:rsidRPr="00B10EC7">
        <w:rPr>
          <w:rFonts w:ascii="Times New Roman" w:hAnsi="Times New Roman" w:cs="Times New Roman"/>
        </w:rPr>
        <w:t>Conner, M.L. (</w:t>
      </w:r>
      <w:r w:rsidR="00477FA2" w:rsidRPr="00B10EC7">
        <w:rPr>
          <w:rFonts w:ascii="Times New Roman" w:hAnsi="Times New Roman" w:cs="Times New Roman"/>
        </w:rPr>
        <w:t>n</w:t>
      </w:r>
      <w:r w:rsidR="00477FA2" w:rsidRPr="00B10EC7">
        <w:rPr>
          <w:rFonts w:ascii="Times New Roman" w:hAnsi="Times New Roman" w:cs="Times New Roman"/>
        </w:rPr>
        <w:t>.</w:t>
      </w:r>
      <w:r w:rsidR="00477FA2" w:rsidRPr="00B10EC7">
        <w:rPr>
          <w:rFonts w:ascii="Times New Roman" w:hAnsi="Times New Roman" w:cs="Times New Roman"/>
        </w:rPr>
        <w:t>d</w:t>
      </w:r>
      <w:r w:rsidR="00477FA2" w:rsidRPr="00B10EC7">
        <w:rPr>
          <w:rFonts w:ascii="Times New Roman" w:hAnsi="Times New Roman" w:cs="Times New Roman"/>
        </w:rPr>
        <w:t>.</w:t>
      </w:r>
      <w:r w:rsidRPr="00B10EC7">
        <w:rPr>
          <w:rFonts w:ascii="Times New Roman" w:hAnsi="Times New Roman" w:cs="Times New Roman"/>
        </w:rPr>
        <w:t xml:space="preserve">). </w:t>
      </w:r>
      <w:r w:rsidRPr="00B10EC7">
        <w:rPr>
          <w:rFonts w:ascii="Times New Roman" w:hAnsi="Times New Roman" w:cs="Times New Roman"/>
          <w:i/>
          <w:iCs/>
        </w:rPr>
        <w:t>Andragogy and Pedagogy</w:t>
      </w:r>
      <w:r w:rsidRPr="00B10EC7">
        <w:rPr>
          <w:rFonts w:ascii="Times New Roman" w:hAnsi="Times New Roman" w:cs="Times New Roman"/>
        </w:rPr>
        <w:t xml:space="preserve">.  Ageless Learner (1997-2004).  Retrieved from: </w:t>
      </w:r>
      <w:r w:rsidRPr="00B10EC7">
        <w:rPr>
          <w:rFonts w:ascii="Times New Roman" w:hAnsi="Times New Roman" w:cs="Times New Roman"/>
        </w:rPr>
        <w:fldChar w:fldCharType="begin"/>
      </w:r>
      <w:r w:rsidRPr="00B10EC7">
        <w:rPr>
          <w:rFonts w:ascii="Times New Roman" w:hAnsi="Times New Roman" w:cs="Times New Roman"/>
        </w:rPr>
        <w:instrText xml:space="preserve"> HYPERLINK "http://tlr.hccs.edu/facultyportal/pdf/Andragogy_Pedagoy.pdf" </w:instrText>
      </w:r>
      <w:r w:rsidRPr="00B10EC7">
        <w:rPr>
          <w:rFonts w:ascii="Times New Roman" w:hAnsi="Times New Roman" w:cs="Times New Roman"/>
        </w:rPr>
        <w:fldChar w:fldCharType="separate"/>
      </w:r>
      <w:r w:rsidRPr="00B10EC7">
        <w:rPr>
          <w:rFonts w:ascii="Times New Roman" w:eastAsia="Times New Roman" w:hAnsi="Times New Roman" w:cs="Times New Roman"/>
          <w:color w:val="0000FF"/>
          <w:u w:val="single"/>
        </w:rPr>
        <w:t>http://tlr.hccs.edu/facultyportal/pdf/Andragogy_Pedagoy.pdf</w:t>
      </w:r>
      <w:r w:rsidRPr="00B10EC7">
        <w:rPr>
          <w:rFonts w:ascii="Times New Roman" w:eastAsia="Times New Roman" w:hAnsi="Times New Roman" w:cs="Times New Roman"/>
          <w:color w:val="0000FF"/>
          <w:u w:val="single"/>
        </w:rPr>
        <w:fldChar w:fldCharType="end"/>
      </w:r>
    </w:p>
    <w:p w14:paraId="1AF719E8" w14:textId="77777777" w:rsidR="00F23B23" w:rsidRPr="00B10EC7" w:rsidRDefault="00F23B23" w:rsidP="00B10EC7">
      <w:pPr>
        <w:spacing w:line="480" w:lineRule="auto"/>
        <w:rPr>
          <w:rFonts w:ascii="Times New Roman" w:hAnsi="Times New Roman" w:cs="Times New Roman"/>
        </w:rPr>
      </w:pPr>
      <w:r w:rsidRPr="00B10EC7">
        <w:rPr>
          <w:rFonts w:ascii="Times New Roman" w:hAnsi="Times New Roman" w:cs="Times New Roman"/>
        </w:rPr>
        <w:t xml:space="preserve">Felder, R. &amp; Soloman, B. (2002). </w:t>
      </w:r>
      <w:r w:rsidRPr="00B10EC7">
        <w:rPr>
          <w:rFonts w:ascii="Times New Roman" w:hAnsi="Times New Roman" w:cs="Times New Roman"/>
          <w:i/>
          <w:iCs/>
        </w:rPr>
        <w:t>Learning Styles and Strategies</w:t>
      </w:r>
      <w:r w:rsidRPr="00B10EC7">
        <w:rPr>
          <w:rFonts w:ascii="Times New Roman" w:hAnsi="Times New Roman" w:cs="Times New Roman"/>
        </w:rPr>
        <w:t>.  University of Waterloo.</w:t>
      </w:r>
    </w:p>
    <w:p w14:paraId="22FD7CAA" w14:textId="4EF57203" w:rsidR="00226CAE" w:rsidRPr="00B10EC7" w:rsidRDefault="00F23B23" w:rsidP="00B10EC7">
      <w:pPr>
        <w:spacing w:line="480" w:lineRule="auto"/>
        <w:ind w:firstLine="720"/>
        <w:rPr>
          <w:rFonts w:ascii="Times New Roman" w:eastAsia="Times New Roman" w:hAnsi="Times New Roman" w:cs="Times New Roman"/>
        </w:rPr>
      </w:pPr>
      <w:r w:rsidRPr="00B10EC7">
        <w:rPr>
          <w:rFonts w:ascii="Times New Roman" w:hAnsi="Times New Roman" w:cs="Times New Roman"/>
        </w:rPr>
        <w:t xml:space="preserve">Retrieved from: </w:t>
      </w:r>
      <w:hyperlink r:id="rId6" w:history="1">
        <w:r w:rsidRPr="00B10EC7">
          <w:rPr>
            <w:rFonts w:ascii="Times New Roman" w:eastAsia="Times New Roman" w:hAnsi="Times New Roman" w:cs="Times New Roman"/>
            <w:color w:val="0000FF"/>
            <w:u w:val="single"/>
          </w:rPr>
          <w:t>https://www.webtools.ncsu.edu/learningstyles/</w:t>
        </w:r>
      </w:hyperlink>
    </w:p>
    <w:p w14:paraId="51441E1F" w14:textId="074D6DFC" w:rsidR="00D6251A" w:rsidRPr="00B10EC7" w:rsidRDefault="00D6251A" w:rsidP="00B10EC7">
      <w:pPr>
        <w:spacing w:line="480" w:lineRule="auto"/>
        <w:rPr>
          <w:rFonts w:ascii="Times New Roman" w:hAnsi="Times New Roman" w:cs="Times New Roman"/>
        </w:rPr>
      </w:pPr>
      <w:r w:rsidRPr="00B10EC7">
        <w:rPr>
          <w:rFonts w:ascii="Times New Roman" w:hAnsi="Times New Roman" w:cs="Times New Roman"/>
        </w:rPr>
        <w:t>Knowles, M. (1975). Self-directed learning.  Chicago: Follett.</w:t>
      </w:r>
    </w:p>
    <w:p w14:paraId="53BA5F63" w14:textId="3923C3D1" w:rsidR="005D3B20" w:rsidRPr="00B10EC7" w:rsidRDefault="005D3B20" w:rsidP="00B10EC7">
      <w:pPr>
        <w:spacing w:line="480" w:lineRule="auto"/>
        <w:ind w:left="720"/>
        <w:rPr>
          <w:rFonts w:ascii="Times New Roman" w:eastAsia="Times New Roman" w:hAnsi="Times New Roman" w:cs="Times New Roman"/>
        </w:rPr>
      </w:pPr>
      <w:r w:rsidRPr="00B10EC7">
        <w:rPr>
          <w:rFonts w:ascii="Times New Roman" w:hAnsi="Times New Roman" w:cs="Times New Roman"/>
        </w:rPr>
        <w:t xml:space="preserve">McLeod, </w:t>
      </w:r>
      <w:r w:rsidR="00226CAE" w:rsidRPr="00B10EC7">
        <w:rPr>
          <w:rFonts w:ascii="Times New Roman" w:hAnsi="Times New Roman" w:cs="Times New Roman"/>
        </w:rPr>
        <w:t>S. (2018). Jean Piaget’s Theory of Cognitive Development.  Simpl</w:t>
      </w:r>
      <w:r w:rsidR="00477FA2" w:rsidRPr="00B10EC7">
        <w:rPr>
          <w:rFonts w:ascii="Times New Roman" w:hAnsi="Times New Roman" w:cs="Times New Roman"/>
        </w:rPr>
        <w:t>e Psychology</w:t>
      </w:r>
      <w:r w:rsidR="00226CAE" w:rsidRPr="00B10EC7">
        <w:rPr>
          <w:rFonts w:ascii="Times New Roman" w:hAnsi="Times New Roman" w:cs="Times New Roman"/>
        </w:rPr>
        <w:t xml:space="preserve">.  Retrieved from: </w:t>
      </w:r>
      <w:hyperlink r:id="rId7" w:history="1">
        <w:r w:rsidR="00226CAE" w:rsidRPr="00B10EC7">
          <w:rPr>
            <w:rFonts w:ascii="Times New Roman" w:eastAsia="Times New Roman" w:hAnsi="Times New Roman" w:cs="Times New Roman"/>
            <w:color w:val="0000FF"/>
            <w:u w:val="single"/>
          </w:rPr>
          <w:t>https://www.simplypsychology.org/piaget.html</w:t>
        </w:r>
      </w:hyperlink>
    </w:p>
    <w:p w14:paraId="27BCE2A8" w14:textId="3DE71C78" w:rsidR="00984BF0" w:rsidRPr="00B10EC7" w:rsidRDefault="005D3B20" w:rsidP="00B10EC7">
      <w:pPr>
        <w:spacing w:line="480" w:lineRule="auto"/>
        <w:ind w:left="720" w:hanging="720"/>
        <w:rPr>
          <w:rFonts w:ascii="Times New Roman" w:hAnsi="Times New Roman" w:cs="Times New Roman"/>
        </w:rPr>
      </w:pPr>
      <w:r w:rsidRPr="00B10EC7">
        <w:rPr>
          <w:rFonts w:ascii="Times New Roman" w:hAnsi="Times New Roman" w:cs="Times New Roman"/>
        </w:rPr>
        <w:t xml:space="preserve">Patharkar, M. (2011). From Data Processing to Mental Organs: An Interdisciplinary Path to Cognitive Neuroscience.  In: Brain, Mind and Consciousness: An International, </w:t>
      </w:r>
      <w:r w:rsidR="00477FA2" w:rsidRPr="00B10EC7">
        <w:rPr>
          <w:rFonts w:ascii="Times New Roman" w:hAnsi="Times New Roman" w:cs="Times New Roman"/>
        </w:rPr>
        <w:t>Interdisciplinary</w:t>
      </w:r>
      <w:r w:rsidRPr="00B10EC7">
        <w:rPr>
          <w:rFonts w:ascii="Times New Roman" w:hAnsi="Times New Roman" w:cs="Times New Roman"/>
        </w:rPr>
        <w:t xml:space="preserve"> Perspective (A.R. Singh and S.A. Singh eds.), MSM, 9(1), p 218-224.</w:t>
      </w:r>
    </w:p>
    <w:p w14:paraId="09E495D2" w14:textId="182ACECA" w:rsidR="009678E9" w:rsidRPr="00B10EC7" w:rsidRDefault="009678E9" w:rsidP="00B10EC7">
      <w:pPr>
        <w:spacing w:line="480" w:lineRule="auto"/>
        <w:ind w:left="720" w:hanging="720"/>
        <w:rPr>
          <w:rFonts w:ascii="Times New Roman" w:eastAsia="Times New Roman" w:hAnsi="Times New Roman" w:cs="Times New Roman"/>
        </w:rPr>
      </w:pPr>
      <w:r w:rsidRPr="00B10EC7">
        <w:rPr>
          <w:rFonts w:ascii="Times New Roman" w:hAnsi="Times New Roman" w:cs="Times New Roman"/>
        </w:rPr>
        <w:t>Thagard, Paul (2019).  Cognitive Science. The Stanford Ency</w:t>
      </w:r>
      <w:r w:rsidR="00941594" w:rsidRPr="00B10EC7">
        <w:rPr>
          <w:rFonts w:ascii="Times New Roman" w:hAnsi="Times New Roman" w:cs="Times New Roman"/>
        </w:rPr>
        <w:t>c</w:t>
      </w:r>
      <w:r w:rsidRPr="00B10EC7">
        <w:rPr>
          <w:rFonts w:ascii="Times New Roman" w:hAnsi="Times New Roman" w:cs="Times New Roman"/>
        </w:rPr>
        <w:t xml:space="preserve">lopedia of Philosophy, Spring Ed. Retrieved from: </w:t>
      </w:r>
      <w:hyperlink r:id="rId8" w:history="1">
        <w:r w:rsidRPr="00B10EC7">
          <w:rPr>
            <w:rFonts w:ascii="Times New Roman" w:eastAsia="Times New Roman" w:hAnsi="Times New Roman" w:cs="Times New Roman"/>
            <w:color w:val="0000FF"/>
            <w:u w:val="single"/>
          </w:rPr>
          <w:t>https://plato.stanford.edu/entries/cognitive-science/</w:t>
        </w:r>
      </w:hyperlink>
    </w:p>
    <w:p w14:paraId="1E50E8FD" w14:textId="3CE8F278" w:rsidR="009678E9" w:rsidRPr="00B10EC7" w:rsidRDefault="009678E9" w:rsidP="00B10EC7">
      <w:pPr>
        <w:spacing w:line="480" w:lineRule="auto"/>
        <w:rPr>
          <w:rFonts w:ascii="Times New Roman" w:hAnsi="Times New Roman" w:cs="Times New Roman"/>
        </w:rPr>
      </w:pPr>
    </w:p>
    <w:sectPr w:rsidR="009678E9" w:rsidRPr="00B10EC7" w:rsidSect="00B21DC5">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96289E" w14:textId="77777777" w:rsidR="00D954EF" w:rsidRDefault="00D954EF" w:rsidP="00B21DC5">
      <w:r>
        <w:separator/>
      </w:r>
    </w:p>
  </w:endnote>
  <w:endnote w:type="continuationSeparator" w:id="0">
    <w:p w14:paraId="3C42DACF" w14:textId="77777777" w:rsidR="00D954EF" w:rsidRDefault="00D954EF" w:rsidP="00B21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783C65" w14:textId="77777777" w:rsidR="00D954EF" w:rsidRDefault="00D954EF" w:rsidP="00B21DC5">
      <w:r>
        <w:separator/>
      </w:r>
    </w:p>
  </w:footnote>
  <w:footnote w:type="continuationSeparator" w:id="0">
    <w:p w14:paraId="7870AB42" w14:textId="77777777" w:rsidR="00D954EF" w:rsidRDefault="00D954EF" w:rsidP="00B21D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9944086"/>
      <w:docPartObj>
        <w:docPartGallery w:val="Page Numbers (Top of Page)"/>
        <w:docPartUnique/>
      </w:docPartObj>
    </w:sdtPr>
    <w:sdtEndPr>
      <w:rPr>
        <w:rStyle w:val="PageNumber"/>
      </w:rPr>
    </w:sdtEndPr>
    <w:sdtContent>
      <w:p w14:paraId="12B5F2B9" w14:textId="0DD30D30" w:rsidR="00B21DC5" w:rsidRDefault="00B21DC5" w:rsidP="00A946D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1D379A3" w14:textId="77777777" w:rsidR="00B21DC5" w:rsidRDefault="00B21DC5" w:rsidP="00B21DC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4833072"/>
      <w:docPartObj>
        <w:docPartGallery w:val="Page Numbers (Top of Page)"/>
        <w:docPartUnique/>
      </w:docPartObj>
    </w:sdtPr>
    <w:sdtEndPr>
      <w:rPr>
        <w:rStyle w:val="PageNumber"/>
      </w:rPr>
    </w:sdtEndPr>
    <w:sdtContent>
      <w:p w14:paraId="6FEF0BB7" w14:textId="500A07F9" w:rsidR="00B21DC5" w:rsidRDefault="00B21DC5" w:rsidP="00A946D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69AE8C0" w14:textId="197488CA" w:rsidR="00B21DC5" w:rsidRDefault="00B21DC5" w:rsidP="00B21DC5">
    <w:pPr>
      <w:pStyle w:val="Header"/>
      <w:ind w:right="360"/>
    </w:pPr>
    <w:r>
      <w:t>Application of Mental Representations</w:t>
    </w:r>
  </w:p>
  <w:p w14:paraId="7CA86AA6" w14:textId="77777777" w:rsidR="00B21DC5" w:rsidRDefault="00B21D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22025784"/>
      <w:docPartObj>
        <w:docPartGallery w:val="Page Numbers (Top of Page)"/>
        <w:docPartUnique/>
      </w:docPartObj>
    </w:sdtPr>
    <w:sdtEndPr>
      <w:rPr>
        <w:rStyle w:val="PageNumber"/>
      </w:rPr>
    </w:sdtEndPr>
    <w:sdtContent>
      <w:p w14:paraId="56EA716D" w14:textId="765CD9C6" w:rsidR="00B21DC5" w:rsidRDefault="00B21DC5" w:rsidP="00A946D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F0D787F" w14:textId="274512A6" w:rsidR="00B21DC5" w:rsidRDefault="00B21DC5" w:rsidP="00B21DC5">
    <w:pPr>
      <w:pStyle w:val="Header"/>
      <w:ind w:right="360"/>
    </w:pPr>
    <w:r>
      <w:t>Running Head: REPRESENTATIONS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DC5"/>
    <w:rsid w:val="000471AF"/>
    <w:rsid w:val="0012321E"/>
    <w:rsid w:val="00171C5E"/>
    <w:rsid w:val="001B6613"/>
    <w:rsid w:val="00226CAE"/>
    <w:rsid w:val="00257037"/>
    <w:rsid w:val="0028233E"/>
    <w:rsid w:val="002D3DDD"/>
    <w:rsid w:val="002F3A87"/>
    <w:rsid w:val="00424D1E"/>
    <w:rsid w:val="00440BCE"/>
    <w:rsid w:val="00477FA2"/>
    <w:rsid w:val="004A2D4B"/>
    <w:rsid w:val="005A1BC7"/>
    <w:rsid w:val="005D3B20"/>
    <w:rsid w:val="008739AD"/>
    <w:rsid w:val="00941594"/>
    <w:rsid w:val="009678E9"/>
    <w:rsid w:val="00984BF0"/>
    <w:rsid w:val="00A859EA"/>
    <w:rsid w:val="00B10EC7"/>
    <w:rsid w:val="00B21DC5"/>
    <w:rsid w:val="00D6251A"/>
    <w:rsid w:val="00D954EF"/>
    <w:rsid w:val="00DE5F2F"/>
    <w:rsid w:val="00E81A64"/>
    <w:rsid w:val="00F23B23"/>
    <w:rsid w:val="00F26470"/>
    <w:rsid w:val="00F533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A02C91"/>
  <w15:chartTrackingRefBased/>
  <w15:docId w15:val="{CB4CBD1D-7BB6-3E4C-80F9-E5AF8C4F1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21D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21DC5"/>
    <w:pPr>
      <w:tabs>
        <w:tab w:val="center" w:pos="4680"/>
        <w:tab w:val="right" w:pos="9360"/>
      </w:tabs>
    </w:pPr>
  </w:style>
  <w:style w:type="character" w:customStyle="1" w:styleId="HeaderChar">
    <w:name w:val="Header Char"/>
    <w:basedOn w:val="DefaultParagraphFont"/>
    <w:link w:val="Header"/>
    <w:uiPriority w:val="99"/>
    <w:rsid w:val="00B21DC5"/>
  </w:style>
  <w:style w:type="paragraph" w:styleId="Footer">
    <w:name w:val="footer"/>
    <w:basedOn w:val="Normal"/>
    <w:link w:val="FooterChar"/>
    <w:uiPriority w:val="99"/>
    <w:unhideWhenUsed/>
    <w:rsid w:val="00B21DC5"/>
    <w:pPr>
      <w:tabs>
        <w:tab w:val="center" w:pos="4680"/>
        <w:tab w:val="right" w:pos="9360"/>
      </w:tabs>
    </w:pPr>
  </w:style>
  <w:style w:type="character" w:customStyle="1" w:styleId="FooterChar">
    <w:name w:val="Footer Char"/>
    <w:basedOn w:val="DefaultParagraphFont"/>
    <w:link w:val="Footer"/>
    <w:uiPriority w:val="99"/>
    <w:rsid w:val="00B21DC5"/>
  </w:style>
  <w:style w:type="character" w:styleId="PageNumber">
    <w:name w:val="page number"/>
    <w:basedOn w:val="DefaultParagraphFont"/>
    <w:uiPriority w:val="99"/>
    <w:semiHidden/>
    <w:unhideWhenUsed/>
    <w:rsid w:val="00B21DC5"/>
  </w:style>
  <w:style w:type="character" w:styleId="Hyperlink">
    <w:name w:val="Hyperlink"/>
    <w:basedOn w:val="DefaultParagraphFont"/>
    <w:uiPriority w:val="99"/>
    <w:semiHidden/>
    <w:unhideWhenUsed/>
    <w:rsid w:val="009678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4902902">
      <w:bodyDiv w:val="1"/>
      <w:marLeft w:val="0"/>
      <w:marRight w:val="0"/>
      <w:marTop w:val="0"/>
      <w:marBottom w:val="0"/>
      <w:divBdr>
        <w:top w:val="none" w:sz="0" w:space="0" w:color="auto"/>
        <w:left w:val="none" w:sz="0" w:space="0" w:color="auto"/>
        <w:bottom w:val="none" w:sz="0" w:space="0" w:color="auto"/>
        <w:right w:val="none" w:sz="0" w:space="0" w:color="auto"/>
      </w:divBdr>
    </w:div>
    <w:div w:id="912275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to.stanford.edu/entries/cognitive-scienc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simplypsychology.org/piaget.htm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btools.ncsu.edu/learningstyles/"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10</Pages>
  <Words>2059</Words>
  <Characters>11738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7</cp:revision>
  <dcterms:created xsi:type="dcterms:W3CDTF">2019-09-20T16:21:00Z</dcterms:created>
  <dcterms:modified xsi:type="dcterms:W3CDTF">2019-09-22T18:58:00Z</dcterms:modified>
</cp:coreProperties>
</file>