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33A3" w:rsidRDefault="004B33A3"/>
    <w:p w:rsidR="00362848" w:rsidRDefault="00362848"/>
    <w:p w:rsidR="00362848" w:rsidRDefault="00362848"/>
    <w:p w:rsidR="00362848" w:rsidRDefault="00362848"/>
    <w:p w:rsidR="00362848" w:rsidRPr="00362848" w:rsidRDefault="00362848" w:rsidP="00362848">
      <w:pPr>
        <w:spacing w:line="480" w:lineRule="auto"/>
        <w:jc w:val="center"/>
        <w:rPr>
          <w:rFonts w:ascii="Times New Roman" w:hAnsi="Times New Roman" w:cs="Times New Roman"/>
        </w:rPr>
      </w:pPr>
    </w:p>
    <w:p w:rsidR="00362848" w:rsidRPr="00362848" w:rsidRDefault="00362848" w:rsidP="00362848">
      <w:pPr>
        <w:spacing w:line="480" w:lineRule="auto"/>
        <w:jc w:val="center"/>
        <w:rPr>
          <w:rFonts w:ascii="Times New Roman" w:hAnsi="Times New Roman" w:cs="Times New Roman"/>
        </w:rPr>
      </w:pPr>
    </w:p>
    <w:p w:rsidR="00362848" w:rsidRPr="00362848" w:rsidRDefault="00362848" w:rsidP="00362848">
      <w:pPr>
        <w:spacing w:line="480" w:lineRule="auto"/>
        <w:rPr>
          <w:rFonts w:ascii="Times New Roman" w:hAnsi="Times New Roman" w:cs="Times New Roman"/>
        </w:rPr>
      </w:pPr>
    </w:p>
    <w:p w:rsidR="00362848" w:rsidRPr="00362848" w:rsidRDefault="00362848" w:rsidP="00362848">
      <w:pPr>
        <w:spacing w:line="480" w:lineRule="auto"/>
        <w:jc w:val="center"/>
        <w:rPr>
          <w:rFonts w:ascii="Times New Roman" w:hAnsi="Times New Roman" w:cs="Times New Roman"/>
        </w:rPr>
      </w:pPr>
    </w:p>
    <w:p w:rsidR="00362848" w:rsidRPr="00362848" w:rsidRDefault="00362848" w:rsidP="00362848">
      <w:pPr>
        <w:spacing w:line="480" w:lineRule="auto"/>
        <w:jc w:val="center"/>
        <w:rPr>
          <w:rFonts w:ascii="Times New Roman" w:hAnsi="Times New Roman" w:cs="Times New Roman"/>
        </w:rPr>
      </w:pPr>
      <w:r w:rsidRPr="00362848">
        <w:rPr>
          <w:rFonts w:ascii="Times New Roman" w:hAnsi="Times New Roman" w:cs="Times New Roman"/>
        </w:rPr>
        <w:t>University-Level Data Analysis: Phase 1</w:t>
      </w:r>
    </w:p>
    <w:p w:rsidR="00362848" w:rsidRPr="00362848" w:rsidRDefault="00362848" w:rsidP="00362848">
      <w:pPr>
        <w:spacing w:line="480" w:lineRule="auto"/>
        <w:jc w:val="center"/>
        <w:rPr>
          <w:rFonts w:ascii="Times New Roman" w:hAnsi="Times New Roman" w:cs="Times New Roman"/>
        </w:rPr>
      </w:pPr>
      <w:r w:rsidRPr="00362848">
        <w:rPr>
          <w:rFonts w:ascii="Times New Roman" w:hAnsi="Times New Roman" w:cs="Times New Roman"/>
        </w:rPr>
        <w:t>Tracy Collamore</w:t>
      </w:r>
    </w:p>
    <w:p w:rsidR="00362848" w:rsidRDefault="00362848" w:rsidP="00362848">
      <w:pPr>
        <w:spacing w:line="480" w:lineRule="auto"/>
        <w:jc w:val="center"/>
        <w:rPr>
          <w:rFonts w:ascii="Times New Roman" w:hAnsi="Times New Roman" w:cs="Times New Roman"/>
        </w:rPr>
      </w:pPr>
      <w:r w:rsidRPr="00362848">
        <w:rPr>
          <w:rFonts w:ascii="Times New Roman" w:hAnsi="Times New Roman" w:cs="Times New Roman"/>
        </w:rPr>
        <w:t>Post University</w:t>
      </w:r>
    </w:p>
    <w:p w:rsidR="00362848" w:rsidRPr="00362848" w:rsidRDefault="00362848" w:rsidP="00362848">
      <w:pPr>
        <w:rPr>
          <w:rFonts w:ascii="Times New Roman" w:hAnsi="Times New Roman" w:cs="Times New Roman"/>
        </w:rPr>
      </w:pPr>
      <w:r>
        <w:rPr>
          <w:rFonts w:ascii="Times New Roman" w:hAnsi="Times New Roman" w:cs="Times New Roman"/>
        </w:rPr>
        <w:br w:type="page"/>
      </w:r>
    </w:p>
    <w:p w:rsidR="00362848" w:rsidRPr="003C34B7" w:rsidRDefault="00362848" w:rsidP="003C34B7">
      <w:pPr>
        <w:tabs>
          <w:tab w:val="left" w:pos="1214"/>
        </w:tabs>
        <w:spacing w:line="480" w:lineRule="auto"/>
        <w:rPr>
          <w:rFonts w:ascii="Times New Roman" w:hAnsi="Times New Roman" w:cs="Times New Roman"/>
        </w:rPr>
      </w:pPr>
      <w:r>
        <w:rPr>
          <w:rFonts w:ascii="Times New Roman" w:hAnsi="Times New Roman" w:cs="Times New Roman"/>
        </w:rPr>
        <w:lastRenderedPageBreak/>
        <w:tab/>
      </w:r>
      <w:r w:rsidRPr="00362848">
        <w:rPr>
          <w:rFonts w:ascii="Times New Roman" w:hAnsi="Times New Roman" w:cs="Times New Roman"/>
        </w:rPr>
        <w:t xml:space="preserve">The Sunshine State University Common Data Set for Strategic Planning is a compilation of data from two </w:t>
      </w:r>
      <w:r w:rsidR="00A77EF8">
        <w:rPr>
          <w:rFonts w:ascii="Times New Roman" w:hAnsi="Times New Roman" w:cs="Times New Roman"/>
        </w:rPr>
        <w:t>institutions</w:t>
      </w:r>
      <w:r w:rsidRPr="00362848">
        <w:rPr>
          <w:rFonts w:ascii="Times New Roman" w:hAnsi="Times New Roman" w:cs="Times New Roman"/>
        </w:rPr>
        <w:t>: Sunshine State University in Florida (which does not currently exist), and Spelman College</w:t>
      </w:r>
      <w:r w:rsidR="003C34B7">
        <w:rPr>
          <w:rFonts w:ascii="Times New Roman" w:hAnsi="Times New Roman" w:cs="Times New Roman"/>
        </w:rPr>
        <w:t xml:space="preserve"> in Georgia</w:t>
      </w:r>
      <w:r w:rsidRPr="00362848">
        <w:rPr>
          <w:rFonts w:ascii="Times New Roman" w:hAnsi="Times New Roman" w:cs="Times New Roman"/>
        </w:rPr>
        <w:t xml:space="preserve">.  </w:t>
      </w:r>
      <w:r w:rsidRPr="00362848">
        <w:rPr>
          <w:rFonts w:ascii="Times New Roman" w:hAnsi="Times New Roman" w:cs="Times New Roman"/>
        </w:rPr>
        <w:t>Th</w:t>
      </w:r>
      <w:r w:rsidR="003C34B7">
        <w:rPr>
          <w:rFonts w:ascii="Times New Roman" w:hAnsi="Times New Roman" w:cs="Times New Roman"/>
        </w:rPr>
        <w:t>e data indicates that the institution described</w:t>
      </w:r>
      <w:r w:rsidRPr="00362848">
        <w:rPr>
          <w:rFonts w:ascii="Times New Roman" w:hAnsi="Times New Roman" w:cs="Times New Roman"/>
        </w:rPr>
        <w:t xml:space="preserve"> has a high retention rate and provides opportunities for study abroad and connectivity to their community and </w:t>
      </w:r>
      <w:r w:rsidR="00105EA7" w:rsidRPr="00362848">
        <w:rPr>
          <w:rFonts w:ascii="Times New Roman" w:hAnsi="Times New Roman" w:cs="Times New Roman"/>
        </w:rPr>
        <w:t>alumn</w:t>
      </w:r>
      <w:r w:rsidR="00105EA7">
        <w:rPr>
          <w:rFonts w:ascii="Times New Roman" w:hAnsi="Times New Roman" w:cs="Times New Roman"/>
        </w:rPr>
        <w:t>a</w:t>
      </w:r>
      <w:r w:rsidR="00105EA7" w:rsidRPr="00362848">
        <w:rPr>
          <w:rFonts w:ascii="Times New Roman" w:hAnsi="Times New Roman" w:cs="Times New Roman"/>
        </w:rPr>
        <w:t>e</w:t>
      </w:r>
      <w:r w:rsidRPr="00362848">
        <w:rPr>
          <w:rFonts w:ascii="Times New Roman" w:hAnsi="Times New Roman" w:cs="Times New Roman"/>
        </w:rPr>
        <w:t xml:space="preserve">. </w:t>
      </w:r>
      <w:r w:rsidRPr="00362848">
        <w:rPr>
          <w:rFonts w:ascii="Times New Roman" w:hAnsi="Times New Roman" w:cs="Times New Roman"/>
        </w:rPr>
        <w:t xml:space="preserve">The acceptance rate of 51% suggests that enrollment is partially selective: importance lies in scholarly excellence, class rank, and standardized test scores.  </w:t>
      </w:r>
      <w:r w:rsidR="00A77EF8">
        <w:rPr>
          <w:rFonts w:ascii="Times New Roman" w:hAnsi="Times New Roman" w:cs="Times New Roman"/>
        </w:rPr>
        <w:t xml:space="preserve">Of the 18,157 applicants, 3,595 were accepted, and 2,007 enrolled.  </w:t>
      </w:r>
      <w:r w:rsidRPr="00362848">
        <w:rPr>
          <w:rFonts w:ascii="Times New Roman" w:hAnsi="Times New Roman" w:cs="Times New Roman"/>
        </w:rPr>
        <w:t xml:space="preserve">Placing importance on test-driven qualifications indicate a need to consider more diverse examples of academic excellence beyond student-exclusive data-driven </w:t>
      </w:r>
      <w:r w:rsidRPr="00362848">
        <w:rPr>
          <w:rFonts w:ascii="Times New Roman" w:hAnsi="Times New Roman" w:cs="Times New Roman"/>
        </w:rPr>
        <w:t>measures</w:t>
      </w:r>
      <w:r w:rsidRPr="00362848">
        <w:rPr>
          <w:rFonts w:ascii="Times New Roman" w:hAnsi="Times New Roman" w:cs="Times New Roman"/>
        </w:rPr>
        <w:t>.</w:t>
      </w:r>
      <w:r w:rsidRPr="00362848">
        <w:rPr>
          <w:rFonts w:ascii="Times New Roman" w:hAnsi="Times New Roman" w:cs="Times New Roman"/>
        </w:rPr>
        <w:t xml:space="preserve">  Enrollment based on race illustrates that the student body is primarily White, Non-Hispanic, which indicates an issue with racial diversity.  Volunteer work is deemed more important than work experience, which de-values a student’s experience based on financial needs.  Faculty/student ratio averages 10:1, however, the largest percentage of students are in larger class sizes, which creates a</w:t>
      </w:r>
      <w:r>
        <w:rPr>
          <w:rFonts w:ascii="Times New Roman" w:hAnsi="Times New Roman" w:cs="Times New Roman"/>
        </w:rPr>
        <w:t xml:space="preserve"> lack</w:t>
      </w:r>
      <w:r w:rsidRPr="00362848">
        <w:rPr>
          <w:rFonts w:ascii="Times New Roman" w:hAnsi="Times New Roman" w:cs="Times New Roman"/>
        </w:rPr>
        <w:t xml:space="preserve"> of one-on-one teacher/student interactions.  Finally, the strategic plan stresses the student experience more than potential improvements to faculty and </w:t>
      </w:r>
      <w:r>
        <w:rPr>
          <w:rFonts w:ascii="Times New Roman" w:hAnsi="Times New Roman" w:cs="Times New Roman"/>
        </w:rPr>
        <w:t>policy</w:t>
      </w:r>
      <w:r w:rsidRPr="00362848">
        <w:rPr>
          <w:rFonts w:ascii="Times New Roman" w:hAnsi="Times New Roman" w:cs="Times New Roman"/>
        </w:rPr>
        <w:t xml:space="preserve">.  </w:t>
      </w:r>
      <w:r>
        <w:rPr>
          <w:rFonts w:ascii="Times New Roman" w:hAnsi="Times New Roman" w:cs="Times New Roman"/>
        </w:rPr>
        <w:t>Of the utmost importance, t</w:t>
      </w:r>
      <w:r w:rsidRPr="00362848">
        <w:rPr>
          <w:rFonts w:ascii="Times New Roman" w:hAnsi="Times New Roman" w:cs="Times New Roman"/>
        </w:rPr>
        <w:t xml:space="preserve">his </w:t>
      </w:r>
      <w:r w:rsidR="003C34B7">
        <w:rPr>
          <w:rFonts w:ascii="Times New Roman" w:hAnsi="Times New Roman" w:cs="Times New Roman"/>
        </w:rPr>
        <w:t>u</w:t>
      </w:r>
      <w:r w:rsidRPr="00362848">
        <w:rPr>
          <w:rFonts w:ascii="Times New Roman" w:hAnsi="Times New Roman" w:cs="Times New Roman"/>
        </w:rPr>
        <w:t xml:space="preserve">niversity needs to strengthen their instructional support and program/policy levels of assessment in order to create a more collaborative learning experience.  </w:t>
      </w:r>
      <w:r>
        <w:rPr>
          <w:rFonts w:ascii="Times New Roman" w:hAnsi="Times New Roman" w:cs="Times New Roman"/>
        </w:rPr>
        <w:t xml:space="preserve">Another important issue is their acceptance policy being solely based on data-driven student success, which indicates an exclusion of </w:t>
      </w:r>
      <w:r w:rsidR="003C34B7">
        <w:rPr>
          <w:rFonts w:ascii="Times New Roman" w:hAnsi="Times New Roman" w:cs="Times New Roman"/>
        </w:rPr>
        <w:t>minorities</w:t>
      </w:r>
      <w:r>
        <w:rPr>
          <w:rFonts w:ascii="Times New Roman" w:hAnsi="Times New Roman" w:cs="Times New Roman"/>
        </w:rPr>
        <w:t xml:space="preserve"> and </w:t>
      </w:r>
      <w:r w:rsidR="003C34B7">
        <w:rPr>
          <w:rFonts w:ascii="Times New Roman" w:hAnsi="Times New Roman" w:cs="Times New Roman"/>
        </w:rPr>
        <w:t>financially</w:t>
      </w:r>
      <w:r>
        <w:rPr>
          <w:rFonts w:ascii="Times New Roman" w:hAnsi="Times New Roman" w:cs="Times New Roman"/>
        </w:rPr>
        <w:t xml:space="preserve"> less-affluent applicants</w:t>
      </w:r>
      <w:r w:rsidR="00A77EF8">
        <w:rPr>
          <w:rFonts w:ascii="Times New Roman" w:hAnsi="Times New Roman" w:cs="Times New Roman"/>
        </w:rPr>
        <w:t xml:space="preserve"> who may not have the same resources as other applicants</w:t>
      </w:r>
      <w:r>
        <w:rPr>
          <w:rFonts w:ascii="Times New Roman" w:hAnsi="Times New Roman" w:cs="Times New Roman"/>
        </w:rPr>
        <w:t xml:space="preserve">.  </w:t>
      </w:r>
      <w:r w:rsidRPr="00362848">
        <w:rPr>
          <w:rFonts w:ascii="Times New Roman" w:hAnsi="Times New Roman" w:cs="Times New Roman"/>
        </w:rPr>
        <w:t>By simply focusing on students’ academics as illustrated in grades, test</w:t>
      </w:r>
      <w:r w:rsidR="003C34B7">
        <w:rPr>
          <w:rFonts w:ascii="Times New Roman" w:hAnsi="Times New Roman" w:cs="Times New Roman"/>
        </w:rPr>
        <w:t xml:space="preserve"> scores</w:t>
      </w:r>
      <w:r w:rsidRPr="00362848">
        <w:rPr>
          <w:rFonts w:ascii="Times New Roman" w:hAnsi="Times New Roman" w:cs="Times New Roman"/>
        </w:rPr>
        <w:t xml:space="preserve">, and ranks, this </w:t>
      </w:r>
      <w:r w:rsidR="003C34B7">
        <w:rPr>
          <w:rFonts w:ascii="Times New Roman" w:hAnsi="Times New Roman" w:cs="Times New Roman"/>
        </w:rPr>
        <w:t>u</w:t>
      </w:r>
      <w:r w:rsidRPr="00362848">
        <w:rPr>
          <w:rFonts w:ascii="Times New Roman" w:hAnsi="Times New Roman" w:cs="Times New Roman"/>
        </w:rPr>
        <w:t xml:space="preserve">niversity fails to recognize applicants’ varying high school environments, accessibility to academic support, and individual financial constraints. </w:t>
      </w:r>
      <w:r>
        <w:rPr>
          <w:rFonts w:ascii="Times New Roman" w:hAnsi="Times New Roman" w:cs="Times New Roman"/>
        </w:rPr>
        <w:t xml:space="preserve"> </w:t>
      </w:r>
      <w:r w:rsidRPr="00362848">
        <w:rPr>
          <w:rFonts w:ascii="Times New Roman" w:hAnsi="Times New Roman" w:cs="Times New Roman"/>
        </w:rPr>
        <w:t>As Rick Stiggens (2006) explains</w:t>
      </w:r>
      <w:r w:rsidR="003C34B7">
        <w:rPr>
          <w:rFonts w:ascii="Times New Roman" w:hAnsi="Times New Roman" w:cs="Times New Roman"/>
        </w:rPr>
        <w:t>, “a</w:t>
      </w:r>
      <w:r w:rsidRPr="00362848">
        <w:rPr>
          <w:rFonts w:ascii="Times New Roman" w:eastAsia="Times New Roman" w:hAnsi="Times New Roman" w:cs="Times New Roman"/>
          <w:color w:val="000000"/>
          <w:szCs w:val="20"/>
        </w:rPr>
        <w:t xml:space="preserve">ssessment practices historically designed to promote accountability by separating the </w:t>
      </w:r>
      <w:r w:rsidRPr="00362848">
        <w:rPr>
          <w:rFonts w:ascii="Times New Roman" w:eastAsia="Times New Roman" w:hAnsi="Times New Roman" w:cs="Times New Roman"/>
          <w:color w:val="000000"/>
          <w:szCs w:val="20"/>
        </w:rPr>
        <w:lastRenderedPageBreak/>
        <w:t>successful from the unsuccessful now must become practices that support the learning of all students in a variety of ways (p. 1).</w:t>
      </w:r>
      <w:r w:rsidR="003C34B7">
        <w:rPr>
          <w:rFonts w:ascii="Times New Roman" w:eastAsia="Times New Roman" w:hAnsi="Times New Roman" w:cs="Times New Roman"/>
          <w:color w:val="000000"/>
          <w:szCs w:val="20"/>
        </w:rPr>
        <w:t>”</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t>According to the university’s strategic plan, student goals include creating a diverse</w:t>
      </w:r>
      <w:r w:rsidR="00A77EF8">
        <w:rPr>
          <w:rFonts w:ascii="Times New Roman" w:eastAsia="Times New Roman" w:hAnsi="Times New Roman" w:cs="Times New Roman"/>
          <w:color w:val="000000"/>
          <w:szCs w:val="20"/>
        </w:rPr>
        <w:t xml:space="preserve"> </w:t>
      </w:r>
      <w:r>
        <w:rPr>
          <w:rFonts w:ascii="Times New Roman" w:eastAsia="Times New Roman" w:hAnsi="Times New Roman" w:cs="Times New Roman"/>
          <w:color w:val="000000"/>
          <w:szCs w:val="20"/>
        </w:rPr>
        <w:t xml:space="preserve">student body that focuses on individual competency and skills identified as best in class.  Enrichment comes through alumnae connections and community involvement through travel abroad.  This indicates a lack of connectivity to local, state, and national communities, and instead, focuses on a closed community of </w:t>
      </w:r>
      <w:r w:rsidR="00A77EF8">
        <w:rPr>
          <w:rFonts w:ascii="Times New Roman" w:eastAsia="Times New Roman" w:hAnsi="Times New Roman" w:cs="Times New Roman"/>
          <w:color w:val="000000"/>
          <w:szCs w:val="20"/>
        </w:rPr>
        <w:t>u</w:t>
      </w:r>
      <w:r>
        <w:rPr>
          <w:rFonts w:ascii="Times New Roman" w:eastAsia="Times New Roman" w:hAnsi="Times New Roman" w:cs="Times New Roman"/>
          <w:color w:val="000000"/>
          <w:szCs w:val="20"/>
        </w:rPr>
        <w:t xml:space="preserve">niversity graduates and selective travel destinations.  Their acceptance criteria also indicate a lack of connectivity to the diversity of high schoolers’ academic and personal experiences.  According to Lily Eskelson Garcia and Otha Thomton (2015), “under No Child Left Behind, accountability has hinged entirely on standardized test scores, a single number that has been used to determine whether students graduate, or teachers keep their jobs (para. 2).”  This </w:t>
      </w:r>
      <w:r w:rsidR="00105EA7">
        <w:rPr>
          <w:rFonts w:ascii="Times New Roman" w:eastAsia="Times New Roman" w:hAnsi="Times New Roman" w:cs="Times New Roman"/>
          <w:color w:val="000000"/>
          <w:szCs w:val="20"/>
        </w:rPr>
        <w:t>u</w:t>
      </w:r>
      <w:r>
        <w:rPr>
          <w:rFonts w:ascii="Times New Roman" w:eastAsia="Times New Roman" w:hAnsi="Times New Roman" w:cs="Times New Roman"/>
          <w:color w:val="000000"/>
          <w:szCs w:val="20"/>
        </w:rPr>
        <w:t xml:space="preserve">niversity appears to place their primary focus on measuring a student’s academic success through measurements based on test scores.  When analyzing their basis for selection, the most important aspects of an application is the rigor of the secondary school record and the SAT/ACT score.  Next important criteria include class rank, GPA, standardized test scores, and application essay.  Qualities such as extra-curricular activities, alumnae relations and volunteer work are deemed more important than racial/ethnic status, work experience, and first-generation college attendance.  These criteria may be the cause of the university’s lack of diversity, as they focus on students who have been taught to effectively earn high grades and excel in test-taking skills.  </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t xml:space="preserve">According to Emily Tate (2017), nationally, the percentage of white students who graduate a four-year program within six years is 62%, whereas Hispanic and black students graduate at rates of 45% and 38%, respectively.  There are many factors to consider when asking </w:t>
      </w:r>
      <w:r>
        <w:rPr>
          <w:rFonts w:ascii="Times New Roman" w:eastAsia="Times New Roman" w:hAnsi="Times New Roman" w:cs="Times New Roman"/>
          <w:color w:val="000000"/>
          <w:szCs w:val="20"/>
        </w:rPr>
        <w:lastRenderedPageBreak/>
        <w:t>why there’s such a disparity, but the data is clear: the higher education system is not recognizing or meeting the needs of minorities.  This can be said of Sunshine State/Spelman based on their common data.  The total enrolled undergraduate students are 8,462, with 69% being White, non-Hispanic at 5,831.  Total enrollment of Hispanic/Latino is only 902, and black enrollment is 323, 11% and 3% respectively.  According to the Center for Education Policy Analysis (n.d.), there is a racial and ethnic achievement gap in education, potentially due to lower incomes in minority families and their inability to provide enough resources for student academic success.  When considering this idea when analyzing</w:t>
      </w:r>
      <w:bookmarkStart w:id="0" w:name="_GoBack"/>
      <w:bookmarkEnd w:id="0"/>
      <w:r>
        <w:rPr>
          <w:rFonts w:ascii="Times New Roman" w:eastAsia="Times New Roman" w:hAnsi="Times New Roman" w:cs="Times New Roman"/>
          <w:color w:val="000000"/>
          <w:szCs w:val="20"/>
        </w:rPr>
        <w:t xml:space="preserve"> Sunshine/Spelman, the data illustrates a focus on student achievements based on access to these necessary resources, both academic and financial.  Not only do they recommend a college-prep program before starting college, they also place a higher importance on elective activities over work experience.  SAT’s are required for acceptance as well.  These factors fail to recognize a student who may not have access to or the ability to afford college-prep or SAT-prep programs, ignores that some school districts cannot provide them, and also minimizes the significance of work experience in favor of volunteering and after-school activities.  The significance this university places on student achievement, without considering teacher or policy assessments, is likely contributing to the lack of diversity in their student body.</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r>
      <w:r w:rsidRPr="003C34B7">
        <w:rPr>
          <w:rFonts w:ascii="Times New Roman" w:eastAsia="Times New Roman" w:hAnsi="Times New Roman" w:cs="Times New Roman"/>
          <w:color w:val="000000"/>
          <w:szCs w:val="20"/>
        </w:rPr>
        <w:t xml:space="preserve">Looking back to Rick Stiggens (2006), he says, “the entire emotional environment surrounding the experience of being evaluated must change for all, but especially </w:t>
      </w:r>
      <w:r w:rsidRPr="003C34B7">
        <w:rPr>
          <w:rFonts w:ascii="Times New Roman" w:eastAsia="Times New Roman" w:hAnsi="Times New Roman" w:cs="Times New Roman"/>
          <w:color w:val="000000"/>
          <w:szCs w:val="20"/>
        </w:rPr>
        <w:t xml:space="preserve">for perennial low achievers (p. 8).”  </w:t>
      </w:r>
      <w:r>
        <w:rPr>
          <w:rFonts w:ascii="Times New Roman" w:eastAsia="Times New Roman" w:hAnsi="Times New Roman" w:cs="Times New Roman"/>
          <w:color w:val="000000"/>
          <w:szCs w:val="20"/>
        </w:rPr>
        <w:t>By</w:t>
      </w:r>
      <w:r w:rsidRPr="003C34B7">
        <w:rPr>
          <w:rFonts w:ascii="Times New Roman" w:eastAsia="Times New Roman" w:hAnsi="Times New Roman" w:cs="Times New Roman"/>
          <w:color w:val="000000"/>
          <w:szCs w:val="20"/>
        </w:rPr>
        <w:t xml:space="preserve"> </w:t>
      </w:r>
      <w:r>
        <w:rPr>
          <w:rFonts w:ascii="Times New Roman" w:eastAsia="Times New Roman" w:hAnsi="Times New Roman" w:cs="Times New Roman"/>
          <w:color w:val="000000"/>
          <w:szCs w:val="20"/>
        </w:rPr>
        <w:t>expecting</w:t>
      </w:r>
      <w:r w:rsidRPr="003C34B7">
        <w:rPr>
          <w:rFonts w:ascii="Times New Roman" w:eastAsia="Times New Roman" w:hAnsi="Times New Roman" w:cs="Times New Roman"/>
          <w:color w:val="000000"/>
          <w:szCs w:val="20"/>
        </w:rPr>
        <w:t xml:space="preserve"> students </w:t>
      </w:r>
      <w:r>
        <w:rPr>
          <w:rFonts w:ascii="Times New Roman" w:eastAsia="Times New Roman" w:hAnsi="Times New Roman" w:cs="Times New Roman"/>
          <w:color w:val="000000"/>
          <w:szCs w:val="20"/>
        </w:rPr>
        <w:t xml:space="preserve">to be solely </w:t>
      </w:r>
      <w:r w:rsidRPr="003C34B7">
        <w:rPr>
          <w:rFonts w:ascii="Times New Roman" w:eastAsia="Times New Roman" w:hAnsi="Times New Roman" w:cs="Times New Roman"/>
          <w:color w:val="000000"/>
          <w:szCs w:val="20"/>
        </w:rPr>
        <w:t xml:space="preserve">accountable for their </w:t>
      </w:r>
      <w:r>
        <w:rPr>
          <w:rFonts w:ascii="Times New Roman" w:eastAsia="Times New Roman" w:hAnsi="Times New Roman" w:cs="Times New Roman"/>
          <w:color w:val="000000"/>
          <w:szCs w:val="20"/>
        </w:rPr>
        <w:t>academic success</w:t>
      </w:r>
      <w:r w:rsidRPr="003C34B7">
        <w:rPr>
          <w:rFonts w:ascii="Times New Roman" w:eastAsia="Times New Roman" w:hAnsi="Times New Roman" w:cs="Times New Roman"/>
          <w:color w:val="000000"/>
          <w:szCs w:val="20"/>
        </w:rPr>
        <w:t xml:space="preserve"> </w:t>
      </w:r>
      <w:r>
        <w:rPr>
          <w:rFonts w:ascii="Times New Roman" w:eastAsia="Times New Roman" w:hAnsi="Times New Roman" w:cs="Times New Roman"/>
          <w:color w:val="000000"/>
          <w:szCs w:val="20"/>
        </w:rPr>
        <w:t>using</w:t>
      </w:r>
      <w:r w:rsidRPr="003C34B7">
        <w:rPr>
          <w:rFonts w:ascii="Times New Roman" w:eastAsia="Times New Roman" w:hAnsi="Times New Roman" w:cs="Times New Roman"/>
          <w:color w:val="000000"/>
          <w:szCs w:val="20"/>
        </w:rPr>
        <w:t xml:space="preserve"> a </w:t>
      </w:r>
      <w:r w:rsidRPr="003C34B7">
        <w:rPr>
          <w:rFonts w:ascii="Times New Roman" w:eastAsia="Times New Roman" w:hAnsi="Times New Roman" w:cs="Times New Roman"/>
          <w:color w:val="000000"/>
          <w:szCs w:val="20"/>
        </w:rPr>
        <w:t xml:space="preserve">simple </w:t>
      </w:r>
      <w:r>
        <w:rPr>
          <w:rFonts w:ascii="Times New Roman" w:eastAsia="Times New Roman" w:hAnsi="Times New Roman" w:cs="Times New Roman"/>
          <w:color w:val="000000"/>
          <w:szCs w:val="20"/>
        </w:rPr>
        <w:t>criterion</w:t>
      </w:r>
      <w:r w:rsidRPr="003C34B7">
        <w:rPr>
          <w:rFonts w:ascii="Times New Roman" w:eastAsia="Times New Roman" w:hAnsi="Times New Roman" w:cs="Times New Roman"/>
          <w:color w:val="000000"/>
          <w:szCs w:val="20"/>
        </w:rPr>
        <w:t xml:space="preserve"> of achievers </w:t>
      </w:r>
      <w:r>
        <w:rPr>
          <w:rFonts w:ascii="Times New Roman" w:eastAsia="Times New Roman" w:hAnsi="Times New Roman" w:cs="Times New Roman"/>
          <w:color w:val="000000"/>
          <w:szCs w:val="20"/>
        </w:rPr>
        <w:t>verses</w:t>
      </w:r>
      <w:r w:rsidRPr="003C34B7">
        <w:rPr>
          <w:rFonts w:ascii="Times New Roman" w:eastAsia="Times New Roman" w:hAnsi="Times New Roman" w:cs="Times New Roman"/>
          <w:color w:val="000000"/>
          <w:szCs w:val="20"/>
        </w:rPr>
        <w:t xml:space="preserve"> non-achievers, regardless of school environment or access to educational support</w:t>
      </w:r>
      <w:r>
        <w:rPr>
          <w:rFonts w:ascii="Times New Roman" w:eastAsia="Times New Roman" w:hAnsi="Times New Roman" w:cs="Times New Roman"/>
          <w:color w:val="000000"/>
          <w:szCs w:val="20"/>
        </w:rPr>
        <w:t>, this university is failing to recognize the importance of all levels of assessment</w:t>
      </w:r>
      <w:r w:rsidRPr="003C34B7">
        <w:rPr>
          <w:rFonts w:ascii="Times New Roman" w:eastAsia="Times New Roman" w:hAnsi="Times New Roman" w:cs="Times New Roman"/>
          <w:color w:val="000000"/>
          <w:szCs w:val="20"/>
        </w:rPr>
        <w:t>.</w:t>
      </w:r>
      <w:r>
        <w:rPr>
          <w:rFonts w:ascii="Times New Roman" w:eastAsia="Times New Roman" w:hAnsi="Times New Roman" w:cs="Times New Roman"/>
          <w:color w:val="000000"/>
          <w:szCs w:val="20"/>
        </w:rPr>
        <w:t xml:space="preserve">  </w:t>
      </w:r>
      <w:r w:rsidRPr="003C34B7">
        <w:rPr>
          <w:rFonts w:ascii="Times New Roman" w:eastAsia="Times New Roman" w:hAnsi="Times New Roman" w:cs="Times New Roman"/>
          <w:color w:val="000000"/>
          <w:szCs w:val="20"/>
        </w:rPr>
        <w:t>Stiggen’s</w:t>
      </w:r>
      <w:r>
        <w:rPr>
          <w:rFonts w:ascii="Times New Roman" w:eastAsia="Times New Roman" w:hAnsi="Times New Roman" w:cs="Times New Roman"/>
          <w:color w:val="000000"/>
          <w:szCs w:val="20"/>
        </w:rPr>
        <w:t xml:space="preserve"> three levels of assessment</w:t>
      </w:r>
      <w:r w:rsidRPr="003C34B7">
        <w:rPr>
          <w:rFonts w:ascii="Times New Roman" w:eastAsia="Times New Roman" w:hAnsi="Times New Roman" w:cs="Times New Roman"/>
          <w:color w:val="000000"/>
          <w:szCs w:val="20"/>
        </w:rPr>
        <w:t xml:space="preserve"> </w:t>
      </w:r>
      <w:r>
        <w:rPr>
          <w:rFonts w:ascii="Times New Roman" w:eastAsia="Times New Roman" w:hAnsi="Times New Roman" w:cs="Times New Roman"/>
          <w:color w:val="000000"/>
          <w:szCs w:val="20"/>
        </w:rPr>
        <w:t>include</w:t>
      </w:r>
      <w:r w:rsidRPr="003C34B7">
        <w:rPr>
          <w:rFonts w:ascii="Times New Roman" w:eastAsia="Times New Roman" w:hAnsi="Times New Roman" w:cs="Times New Roman"/>
          <w:color w:val="000000"/>
          <w:szCs w:val="20"/>
        </w:rPr>
        <w:t xml:space="preserve"> classroom level, instructional support level, and program/policy level (2006).</w:t>
      </w:r>
      <w:r>
        <w:rPr>
          <w:rFonts w:ascii="Times New Roman" w:eastAsia="Times New Roman" w:hAnsi="Times New Roman" w:cs="Times New Roman"/>
          <w:color w:val="000000"/>
          <w:szCs w:val="20"/>
        </w:rPr>
        <w:t xml:space="preserve">  According to the Sunshine/Spelman data, the </w:t>
      </w:r>
      <w:r>
        <w:rPr>
          <w:rFonts w:ascii="Times New Roman" w:eastAsia="Times New Roman" w:hAnsi="Times New Roman" w:cs="Times New Roman"/>
          <w:color w:val="000000"/>
          <w:szCs w:val="20"/>
        </w:rPr>
        <w:lastRenderedPageBreak/>
        <w:t>university is primarily focused on individual student achievement.  For example, although the data claims that the faculty/student ratio average is 10:1, further data indicate otherwise.  In a total class size of 1,992, only 395 students are in classes with 2-9 others, and 805 are in classes with 10-19.  792 students are in classes that have 20-100+ students.  If all 805 students in the 10-19 category are in a classroom size of 10, then approximately half of the class is in much larger classes</w:t>
      </w:r>
      <w:r w:rsidR="00A77EF8">
        <w:rPr>
          <w:rFonts w:ascii="Times New Roman" w:eastAsia="Times New Roman" w:hAnsi="Times New Roman" w:cs="Times New Roman"/>
          <w:color w:val="000000"/>
          <w:szCs w:val="20"/>
        </w:rPr>
        <w:t xml:space="preserve"> than the advertised ratio of 10:1</w:t>
      </w:r>
      <w:r>
        <w:rPr>
          <w:rFonts w:ascii="Times New Roman" w:eastAsia="Times New Roman" w:hAnsi="Times New Roman" w:cs="Times New Roman"/>
          <w:color w:val="000000"/>
          <w:szCs w:val="20"/>
        </w:rPr>
        <w:t>.  Low faculty/student ratios allow a teacher to be more effective with a student’s success because they can connect with each student individually, and data confirms that small class sizes ensure better success rates with students (Mississauga News, 2014).  When considering Stiggen’s levels of assessment, instructional support is integral to student success.  The school program and its policies are equally important if equal involvement of all three levels is expected.</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t xml:space="preserve">When considering the data on the policies and programs at Sunshine/Spelman, the list of goals indicate a lack of focus on the instructional/policy levels and a restricted view on community/global involvement.  These goals also indicate a primary focus on student-led initiatives and do not explain how the instructional or program levels will meet those student goals outside of the realm of alumni relations.  For example, one goal indicates a desire for each student to have one meaningful international travel experience.  Strategies include increasing opportunities for travel and an initiative to recruit more international students.  This does not exactly meet the need of global engagement as it does not consider all, many, or even some global situations, but rather, one, in terms of traveling </w:t>
      </w:r>
      <w:r w:rsidR="00A77EF8">
        <w:rPr>
          <w:rFonts w:ascii="Times New Roman" w:eastAsia="Times New Roman" w:hAnsi="Times New Roman" w:cs="Times New Roman"/>
          <w:color w:val="000000"/>
          <w:szCs w:val="20"/>
        </w:rPr>
        <w:t xml:space="preserve">to one location </w:t>
      </w:r>
      <w:r>
        <w:rPr>
          <w:rFonts w:ascii="Times New Roman" w:eastAsia="Times New Roman" w:hAnsi="Times New Roman" w:cs="Times New Roman"/>
          <w:color w:val="000000"/>
          <w:szCs w:val="20"/>
        </w:rPr>
        <w:t xml:space="preserve">once during the curriculum.  Another goal sets opportunities for research and career-related internships, and their strategies, once again, rely on student involvement and makes no reference to instructor/program roles in its implementation, other than providing a capstone project and internships.  Further, </w:t>
      </w:r>
      <w:r>
        <w:rPr>
          <w:rFonts w:ascii="Times New Roman" w:eastAsia="Times New Roman" w:hAnsi="Times New Roman" w:cs="Times New Roman"/>
          <w:color w:val="000000"/>
          <w:szCs w:val="20"/>
        </w:rPr>
        <w:lastRenderedPageBreak/>
        <w:t>community involvement lies solely through connections to alumnae: as alumnae relation is listed as important for acceptance, this illustrates a closed community of university-connected individuals.  However, it is there where the program lists how the institution and its instructors should interact with student involvement</w:t>
      </w:r>
      <w:r w:rsidR="00A77EF8">
        <w:rPr>
          <w:rFonts w:ascii="Times New Roman" w:eastAsia="Times New Roman" w:hAnsi="Times New Roman" w:cs="Times New Roman"/>
          <w:color w:val="000000"/>
          <w:szCs w:val="20"/>
        </w:rPr>
        <w:t>:</w:t>
      </w:r>
      <w:r>
        <w:rPr>
          <w:rFonts w:ascii="Times New Roman" w:eastAsia="Times New Roman" w:hAnsi="Times New Roman" w:cs="Times New Roman"/>
          <w:color w:val="000000"/>
          <w:szCs w:val="20"/>
        </w:rPr>
        <w:t xml:space="preserve"> through alumni connections.  When considering the Cynefin system of leadership management outlined by Snowden and Boone (2007), the 21</w:t>
      </w:r>
      <w:r w:rsidRPr="003C34B7">
        <w:rPr>
          <w:rFonts w:ascii="Times New Roman" w:eastAsia="Times New Roman" w:hAnsi="Times New Roman" w:cs="Times New Roman"/>
          <w:color w:val="000000"/>
          <w:szCs w:val="20"/>
          <w:vertAlign w:val="superscript"/>
        </w:rPr>
        <w:t>st</w:t>
      </w:r>
      <w:r>
        <w:rPr>
          <w:rFonts w:ascii="Times New Roman" w:eastAsia="Times New Roman" w:hAnsi="Times New Roman" w:cs="Times New Roman"/>
          <w:color w:val="000000"/>
          <w:szCs w:val="20"/>
        </w:rPr>
        <w:t xml:space="preserve"> century has presented more complex circumstances which require leaders to avoid a simplified management style.  A simple system of management is a linear-based system of decision making classified as command-and-control style.  It is an ordered framework with a vertical hierarchy of command.  The pitfalls of operating with the assumption that a system is simple and, therefore, requires unilateral decisions, is that the program fails to recognize the complexity of their environment (locally, nationally, globally) and makes policy decisions based on their immediately connected community, while neglecting the global situation as a whole.  </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t xml:space="preserve">While analyzing the data from the Sunshine/Spelman data, it seems evident that they are trying to operate under the assumption that they are a simple system, when in reality, they are more complex.  The goals and strategies data seem to imply that the institution is using the strategy of sense, categorize, and respond.  The categorize step is the important factor: each goal has been compartmentalized into a narrow interpretation, and therefore, responded to with limited resources.  </w:t>
      </w:r>
      <w:r w:rsidR="00A77EF8">
        <w:rPr>
          <w:rFonts w:ascii="Times New Roman" w:eastAsia="Times New Roman" w:hAnsi="Times New Roman" w:cs="Times New Roman"/>
          <w:color w:val="000000"/>
          <w:szCs w:val="20"/>
        </w:rPr>
        <w:t xml:space="preserve">In reality, according to the Ikemoto and Marsh DDDM outline (2007), this institution falls into a category III structure.  Even though this university may not know it, Ikemoto and Marsh explain cutting through the data-driven mantra as this: “high-stakes accountability policies such as the federal No Child Left Behind (NCLB) legislation require districts and schools to use data to measure progress toward standards and hold them accountable for improving student achievement (pg. 105).”  </w:t>
      </w:r>
      <w:r>
        <w:rPr>
          <w:rFonts w:ascii="Times New Roman" w:eastAsia="Times New Roman" w:hAnsi="Times New Roman" w:cs="Times New Roman"/>
          <w:color w:val="000000"/>
          <w:szCs w:val="20"/>
        </w:rPr>
        <w:t xml:space="preserve">Having experienced the No Child Left Behind </w:t>
      </w:r>
      <w:r>
        <w:rPr>
          <w:rFonts w:ascii="Times New Roman" w:eastAsia="Times New Roman" w:hAnsi="Times New Roman" w:cs="Times New Roman"/>
          <w:color w:val="000000"/>
          <w:szCs w:val="20"/>
        </w:rPr>
        <w:lastRenderedPageBreak/>
        <w:t>Act in its initial attempts to hold teachers and schools accountable, it was clear that the focus was training students to take a standardized test, regardless of content knowledge in any particular class.  The Sunshine/Spelman data indicate their desire to recruit students who meet those test-taking standards, regardless of any exterior circumstances.  Managing as a complex system would be more beneficial to this university, as they would sense, analyze, and respond.  According to Snowden and Boone (200</w:t>
      </w:r>
      <w:r w:rsidR="00A77EF8">
        <w:rPr>
          <w:rFonts w:ascii="Times New Roman" w:eastAsia="Times New Roman" w:hAnsi="Times New Roman" w:cs="Times New Roman"/>
          <w:color w:val="000000"/>
          <w:szCs w:val="20"/>
        </w:rPr>
        <w:t>8</w:t>
      </w:r>
      <w:r>
        <w:rPr>
          <w:rFonts w:ascii="Times New Roman" w:eastAsia="Times New Roman" w:hAnsi="Times New Roman" w:cs="Times New Roman"/>
          <w:color w:val="000000"/>
          <w:szCs w:val="20"/>
        </w:rPr>
        <w:t>), “the key to complex systems is a high degree of adaptive capacity, making them resilient in the face of perturbation (pg. 13).”  Based on the data provided, it does not seem as though the Sunshine/Spelman institution is operating with adaptive capacity in order to meet the needs of the 21</w:t>
      </w:r>
      <w:r w:rsidRPr="003C34B7">
        <w:rPr>
          <w:rFonts w:ascii="Times New Roman" w:eastAsia="Times New Roman" w:hAnsi="Times New Roman" w:cs="Times New Roman"/>
          <w:color w:val="000000"/>
          <w:szCs w:val="20"/>
          <w:vertAlign w:val="superscript"/>
        </w:rPr>
        <w:t>st</w:t>
      </w:r>
      <w:r>
        <w:rPr>
          <w:rFonts w:ascii="Times New Roman" w:eastAsia="Times New Roman" w:hAnsi="Times New Roman" w:cs="Times New Roman"/>
          <w:color w:val="000000"/>
          <w:szCs w:val="20"/>
        </w:rPr>
        <w:t xml:space="preserve"> century learner, but rather, is falling back into a tradition of relying on a closed community of test-mastering students, alumni-driven connectivity to the community, and singular travel options to relate to global concerns.</w:t>
      </w:r>
    </w:p>
    <w:p w:rsidR="003C34B7" w:rsidRDefault="003C34B7">
      <w:pPr>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br w:type="page"/>
      </w:r>
    </w:p>
    <w:p w:rsidR="003C34B7" w:rsidRDefault="003C34B7" w:rsidP="003C34B7">
      <w:pPr>
        <w:tabs>
          <w:tab w:val="left" w:pos="1214"/>
        </w:tabs>
        <w:spacing w:line="480" w:lineRule="auto"/>
        <w:jc w:val="center"/>
        <w:rPr>
          <w:rFonts w:ascii="Times New Roman" w:eastAsia="Times New Roman" w:hAnsi="Times New Roman" w:cs="Times New Roman"/>
          <w:b/>
          <w:bCs/>
          <w:color w:val="000000"/>
          <w:szCs w:val="20"/>
        </w:rPr>
      </w:pPr>
      <w:r w:rsidRPr="003C34B7">
        <w:rPr>
          <w:rFonts w:ascii="Times New Roman" w:eastAsia="Times New Roman" w:hAnsi="Times New Roman" w:cs="Times New Roman"/>
          <w:b/>
          <w:bCs/>
          <w:color w:val="000000"/>
          <w:szCs w:val="20"/>
        </w:rPr>
        <w:lastRenderedPageBreak/>
        <w:t>References</w:t>
      </w:r>
    </w:p>
    <w:p w:rsidR="003C34B7" w:rsidRDefault="003C34B7" w:rsidP="003C34B7">
      <w:pPr>
        <w:spacing w:line="480" w:lineRule="auto"/>
        <w:rPr>
          <w:rFonts w:ascii="Times New Roman" w:eastAsia="Times New Roman" w:hAnsi="Times New Roman" w:cs="Times New Roman"/>
          <w:color w:val="000000"/>
          <w:szCs w:val="20"/>
        </w:rPr>
      </w:pPr>
      <w:r w:rsidRPr="003C34B7">
        <w:rPr>
          <w:rFonts w:ascii="Times New Roman" w:eastAsia="Times New Roman" w:hAnsi="Times New Roman" w:cs="Times New Roman"/>
          <w:color w:val="000000"/>
          <w:szCs w:val="20"/>
        </w:rPr>
        <w:t xml:space="preserve">Center for Educational Policy Analysis (n.d.).  Retrieved from: </w:t>
      </w:r>
    </w:p>
    <w:p w:rsidR="003C34B7" w:rsidRPr="003C34B7" w:rsidRDefault="003C34B7" w:rsidP="003C34B7">
      <w:pPr>
        <w:spacing w:line="480" w:lineRule="auto"/>
        <w:ind w:left="720"/>
        <w:rPr>
          <w:rFonts w:ascii="Times New Roman" w:eastAsia="Times New Roman" w:hAnsi="Times New Roman" w:cs="Times New Roman"/>
        </w:rPr>
      </w:pPr>
      <w:hyperlink r:id="rId7" w:history="1">
        <w:r w:rsidRPr="00CF3FAD">
          <w:rPr>
            <w:rStyle w:val="Hyperlink"/>
            <w:rFonts w:ascii="Times New Roman" w:eastAsia="Times New Roman" w:hAnsi="Times New Roman" w:cs="Times New Roman"/>
          </w:rPr>
          <w:t>https://cepa.stanford.edu/educational-opportunity-monitoring-project/achievement-gaps/race/</w:t>
        </w:r>
      </w:hyperlink>
    </w:p>
    <w:p w:rsidR="003C34B7" w:rsidRDefault="003C34B7" w:rsidP="003C34B7">
      <w:pPr>
        <w:spacing w:line="480" w:lineRule="auto"/>
        <w:rPr>
          <w:rFonts w:ascii="Times New Roman" w:eastAsia="Times New Roman" w:hAnsi="Times New Roman" w:cs="Times New Roman"/>
          <w:i/>
          <w:iCs/>
          <w:color w:val="000000"/>
          <w:szCs w:val="20"/>
        </w:rPr>
      </w:pPr>
      <w:r w:rsidRPr="003C34B7">
        <w:rPr>
          <w:rFonts w:ascii="Times New Roman" w:eastAsia="Times New Roman" w:hAnsi="Times New Roman" w:cs="Times New Roman"/>
          <w:color w:val="000000"/>
          <w:szCs w:val="20"/>
        </w:rPr>
        <w:t xml:space="preserve">Garcia, L.E. &amp; Thornton, O. (2015). ‘No Child Left Behind’ has failed. </w:t>
      </w:r>
      <w:r w:rsidRPr="003C34B7">
        <w:rPr>
          <w:rFonts w:ascii="Times New Roman" w:eastAsia="Times New Roman" w:hAnsi="Times New Roman" w:cs="Times New Roman"/>
          <w:i/>
          <w:iCs/>
          <w:color w:val="000000"/>
          <w:szCs w:val="20"/>
        </w:rPr>
        <w:t xml:space="preserve">The Washington Post. </w:t>
      </w:r>
    </w:p>
    <w:p w:rsidR="003C34B7" w:rsidRDefault="003C34B7" w:rsidP="003C34B7">
      <w:pPr>
        <w:spacing w:line="480" w:lineRule="auto"/>
        <w:ind w:left="720" w:hanging="720"/>
        <w:rPr>
          <w:rFonts w:ascii="Times New Roman" w:eastAsia="Times New Roman" w:hAnsi="Times New Roman" w:cs="Times New Roman"/>
          <w:color w:val="0000FF"/>
          <w:u w:val="single"/>
        </w:rPr>
      </w:pPr>
      <w:r w:rsidRPr="003C34B7">
        <w:rPr>
          <w:rFonts w:ascii="Times New Roman" w:eastAsia="Times New Roman" w:hAnsi="Times New Roman" w:cs="Times New Roman"/>
          <w:color w:val="000000"/>
          <w:szCs w:val="20"/>
        </w:rPr>
        <w:t xml:space="preserve">Retrieved from: </w:t>
      </w:r>
      <w:hyperlink r:id="rId8" w:history="1">
        <w:r w:rsidRPr="003C34B7">
          <w:rPr>
            <w:rFonts w:ascii="Times New Roman" w:eastAsia="Times New Roman" w:hAnsi="Times New Roman" w:cs="Times New Roman"/>
            <w:color w:val="0000FF"/>
            <w:u w:val="single"/>
          </w:rPr>
          <w:t>https://www.washingtonpost.com/op</w:t>
        </w:r>
        <w:r w:rsidRPr="003C34B7">
          <w:rPr>
            <w:rFonts w:ascii="Times New Roman" w:eastAsia="Times New Roman" w:hAnsi="Times New Roman" w:cs="Times New Roman"/>
            <w:color w:val="0000FF"/>
            <w:u w:val="single"/>
          </w:rPr>
          <w:t>i</w:t>
        </w:r>
        <w:r w:rsidRPr="003C34B7">
          <w:rPr>
            <w:rFonts w:ascii="Times New Roman" w:eastAsia="Times New Roman" w:hAnsi="Times New Roman" w:cs="Times New Roman"/>
            <w:color w:val="0000FF"/>
            <w:u w:val="single"/>
          </w:rPr>
          <w:t>nions/no-child-has-</w:t>
        </w:r>
        <w:r w:rsidRPr="003C34B7">
          <w:rPr>
            <w:rFonts w:ascii="Times New Roman" w:eastAsia="Times New Roman" w:hAnsi="Times New Roman" w:cs="Times New Roman"/>
            <w:color w:val="0000FF"/>
            <w:u w:val="single"/>
          </w:rPr>
          <w:t>f</w:t>
        </w:r>
        <w:r w:rsidRPr="003C34B7">
          <w:rPr>
            <w:rFonts w:ascii="Times New Roman" w:eastAsia="Times New Roman" w:hAnsi="Times New Roman" w:cs="Times New Roman"/>
            <w:color w:val="0000FF"/>
            <w:u w:val="single"/>
          </w:rPr>
          <w:t>ailed/2015/02/13/8d619026-b2f8-11e4-827f-93f454140e2b_story.html?noredirect=on&amp;utm_term=.7e8d64bb929c</w:t>
        </w:r>
      </w:hyperlink>
    </w:p>
    <w:p w:rsidR="00A77EF8" w:rsidRPr="00A77EF8" w:rsidRDefault="00A77EF8" w:rsidP="003C34B7">
      <w:pPr>
        <w:spacing w:line="480" w:lineRule="auto"/>
        <w:ind w:left="720" w:hanging="720"/>
        <w:rPr>
          <w:rFonts w:ascii="Times New Roman" w:eastAsia="Times New Roman" w:hAnsi="Times New Roman" w:cs="Times New Roman"/>
          <w:color w:val="000000" w:themeColor="text1"/>
        </w:rPr>
      </w:pPr>
      <w:r w:rsidRPr="00A77EF8">
        <w:rPr>
          <w:rFonts w:ascii="Times New Roman" w:eastAsia="Times New Roman" w:hAnsi="Times New Roman" w:cs="Times New Roman"/>
          <w:color w:val="000000" w:themeColor="text1"/>
        </w:rPr>
        <w:t>Ikemoto, G.S., &amp; Marsh, J.A. (2007). Cutting through the “data-driven” mantra: Different conceptions of data-driven decision making.</w:t>
      </w:r>
    </w:p>
    <w:p w:rsidR="003C34B7" w:rsidRPr="003C34B7" w:rsidRDefault="003C34B7" w:rsidP="003C34B7">
      <w:pPr>
        <w:spacing w:line="480" w:lineRule="auto"/>
        <w:ind w:left="720" w:hanging="720"/>
        <w:rPr>
          <w:rFonts w:ascii="Times New Roman" w:eastAsia="Times New Roman" w:hAnsi="Times New Roman" w:cs="Times New Roman"/>
        </w:rPr>
      </w:pPr>
      <w:r w:rsidRPr="003C34B7">
        <w:rPr>
          <w:rFonts w:ascii="Times New Roman" w:eastAsia="Times New Roman" w:hAnsi="Times New Roman" w:cs="Times New Roman"/>
          <w:color w:val="000000"/>
          <w:szCs w:val="20"/>
        </w:rPr>
        <w:t xml:space="preserve">Missauga News (2014). Importance of low student to teacher ratio.  Retrieved from: </w:t>
      </w:r>
      <w:r w:rsidRPr="003C34B7">
        <w:rPr>
          <w:rFonts w:ascii="Times New Roman" w:eastAsia="Times New Roman" w:hAnsi="Times New Roman" w:cs="Times New Roman"/>
        </w:rPr>
        <w:fldChar w:fldCharType="begin"/>
      </w:r>
      <w:r w:rsidRPr="003C34B7">
        <w:rPr>
          <w:rFonts w:ascii="Times New Roman" w:eastAsia="Times New Roman" w:hAnsi="Times New Roman" w:cs="Times New Roman"/>
        </w:rPr>
        <w:instrText xml:space="preserve"> HYPERLINK "https://www.mississauga.com/shopping-story/4387373-importance-of-low-student-to-teacher-ratio/" </w:instrText>
      </w:r>
      <w:r w:rsidRPr="003C34B7">
        <w:rPr>
          <w:rFonts w:ascii="Times New Roman" w:eastAsia="Times New Roman" w:hAnsi="Times New Roman" w:cs="Times New Roman"/>
        </w:rPr>
        <w:fldChar w:fldCharType="separate"/>
      </w:r>
      <w:r w:rsidRPr="003C34B7">
        <w:rPr>
          <w:rFonts w:ascii="Times New Roman" w:eastAsia="Times New Roman" w:hAnsi="Times New Roman" w:cs="Times New Roman"/>
          <w:color w:val="0000FF"/>
          <w:u w:val="single"/>
        </w:rPr>
        <w:t>https://www.mississauga.com/shopping-story/4387373-importance-of-low-student-to-teacher-ratio/</w:t>
      </w:r>
      <w:r w:rsidRPr="003C34B7">
        <w:rPr>
          <w:rFonts w:ascii="Times New Roman" w:eastAsia="Times New Roman" w:hAnsi="Times New Roman" w:cs="Times New Roman"/>
        </w:rPr>
        <w:fldChar w:fldCharType="end"/>
      </w:r>
    </w:p>
    <w:p w:rsidR="003C34B7" w:rsidRDefault="003C34B7" w:rsidP="003C34B7">
      <w:pPr>
        <w:spacing w:line="480" w:lineRule="auto"/>
        <w:rPr>
          <w:rFonts w:ascii="Times New Roman" w:hAnsi="Times New Roman" w:cs="Times New Roman"/>
          <w:i/>
          <w:iCs/>
        </w:rPr>
      </w:pPr>
      <w:r w:rsidRPr="003C34B7">
        <w:rPr>
          <w:rFonts w:ascii="Times New Roman" w:hAnsi="Times New Roman" w:cs="Times New Roman"/>
        </w:rPr>
        <w:t xml:space="preserve">Snowden, D.J., &amp; Boone, M.E. (2007).  A leader’s framework for </w:t>
      </w:r>
      <w:r w:rsidR="00A77EF8" w:rsidRPr="003C34B7">
        <w:rPr>
          <w:rFonts w:ascii="Times New Roman" w:hAnsi="Times New Roman" w:cs="Times New Roman"/>
        </w:rPr>
        <w:t>decision</w:t>
      </w:r>
      <w:r w:rsidRPr="003C34B7">
        <w:rPr>
          <w:rFonts w:ascii="Times New Roman" w:hAnsi="Times New Roman" w:cs="Times New Roman"/>
        </w:rPr>
        <w:t xml:space="preserve">-making. </w:t>
      </w:r>
      <w:r w:rsidRPr="003C34B7">
        <w:rPr>
          <w:rFonts w:ascii="Times New Roman" w:hAnsi="Times New Roman" w:cs="Times New Roman"/>
          <w:i/>
          <w:iCs/>
        </w:rPr>
        <w:t>Harvard</w:t>
      </w:r>
    </w:p>
    <w:p w:rsidR="003C34B7" w:rsidRDefault="003C34B7" w:rsidP="003C34B7">
      <w:pPr>
        <w:spacing w:line="480" w:lineRule="auto"/>
        <w:ind w:firstLine="720"/>
        <w:rPr>
          <w:rFonts w:ascii="Times New Roman" w:hAnsi="Times New Roman" w:cs="Times New Roman"/>
          <w:i/>
          <w:iCs/>
        </w:rPr>
      </w:pPr>
      <w:r w:rsidRPr="003C34B7">
        <w:rPr>
          <w:rFonts w:ascii="Times New Roman" w:hAnsi="Times New Roman" w:cs="Times New Roman"/>
          <w:i/>
          <w:iCs/>
        </w:rPr>
        <w:t>Business Review.</w:t>
      </w:r>
    </w:p>
    <w:p w:rsidR="00A77EF8" w:rsidRPr="00A77EF8" w:rsidRDefault="00A77EF8" w:rsidP="00A77EF8">
      <w:pPr>
        <w:spacing w:line="480" w:lineRule="auto"/>
        <w:ind w:left="720" w:hanging="720"/>
        <w:rPr>
          <w:rFonts w:ascii="Times New Roman" w:hAnsi="Times New Roman" w:cs="Times New Roman"/>
        </w:rPr>
      </w:pPr>
      <w:r>
        <w:rPr>
          <w:rFonts w:ascii="Times New Roman" w:hAnsi="Times New Roman" w:cs="Times New Roman"/>
        </w:rPr>
        <w:t xml:space="preserve">Stiggens, R.J. (2008). A call for the development of balanced assessment systems. </w:t>
      </w:r>
      <w:r>
        <w:rPr>
          <w:rFonts w:ascii="Times New Roman" w:hAnsi="Times New Roman" w:cs="Times New Roman"/>
          <w:i/>
          <w:iCs/>
        </w:rPr>
        <w:t xml:space="preserve">Assessment Manifesto.  </w:t>
      </w:r>
      <w:r>
        <w:rPr>
          <w:rFonts w:ascii="Times New Roman" w:hAnsi="Times New Roman" w:cs="Times New Roman"/>
        </w:rPr>
        <w:t>Portland, OR: Educational Testing Service.</w:t>
      </w:r>
      <w:r w:rsidRPr="00A77EF8">
        <w:rPr>
          <w:rFonts w:ascii="inherit" w:eastAsia="Times New Roman" w:hAnsi="inherit" w:cs="Arial"/>
          <w:color w:val="111111"/>
          <w:sz w:val="20"/>
          <w:szCs w:val="20"/>
        </w:rPr>
        <w:t xml:space="preserve">. </w:t>
      </w:r>
    </w:p>
    <w:p w:rsidR="003C34B7" w:rsidRDefault="003C34B7" w:rsidP="003C34B7">
      <w:pPr>
        <w:tabs>
          <w:tab w:val="left" w:pos="1214"/>
        </w:tabs>
        <w:spacing w:line="480" w:lineRule="auto"/>
        <w:rPr>
          <w:rFonts w:ascii="Times New Roman" w:eastAsia="Times New Roman" w:hAnsi="Times New Roman" w:cs="Times New Roman"/>
          <w:color w:val="000000"/>
          <w:szCs w:val="20"/>
        </w:rPr>
      </w:pPr>
      <w:r w:rsidRPr="003C34B7">
        <w:rPr>
          <w:rFonts w:ascii="Times New Roman" w:eastAsia="Times New Roman" w:hAnsi="Times New Roman" w:cs="Times New Roman"/>
          <w:color w:val="000000"/>
          <w:szCs w:val="20"/>
        </w:rPr>
        <w:t xml:space="preserve">Stiggens, R.J. (2006). Balanced assessment systems: Redefining excellence in assessment. </w:t>
      </w:r>
    </w:p>
    <w:p w:rsidR="003C34B7" w:rsidRPr="003C34B7" w:rsidRDefault="003C34B7" w:rsidP="003C34B7">
      <w:pPr>
        <w:tabs>
          <w:tab w:val="left" w:pos="1214"/>
        </w:tabs>
        <w:spacing w:line="480" w:lineRule="auto"/>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ab/>
      </w:r>
      <w:r w:rsidRPr="003C34B7">
        <w:rPr>
          <w:rFonts w:ascii="Times New Roman" w:eastAsia="Times New Roman" w:hAnsi="Times New Roman" w:cs="Times New Roman"/>
          <w:color w:val="000000"/>
          <w:szCs w:val="20"/>
        </w:rPr>
        <w:t>Portland, OR: Educational Testing Service.</w:t>
      </w:r>
    </w:p>
    <w:p w:rsidR="00362848" w:rsidRPr="003C34B7" w:rsidRDefault="003C34B7" w:rsidP="003C34B7">
      <w:pPr>
        <w:spacing w:line="480" w:lineRule="auto"/>
        <w:ind w:left="720" w:hanging="720"/>
        <w:rPr>
          <w:rFonts w:ascii="Times New Roman" w:eastAsia="Times New Roman" w:hAnsi="Times New Roman" w:cs="Times New Roman"/>
        </w:rPr>
      </w:pPr>
      <w:r w:rsidRPr="003C34B7">
        <w:rPr>
          <w:rFonts w:ascii="Times New Roman" w:eastAsia="Times New Roman" w:hAnsi="Times New Roman" w:cs="Times New Roman"/>
          <w:color w:val="000000"/>
          <w:szCs w:val="20"/>
        </w:rPr>
        <w:t xml:space="preserve">Tate, E. (2017). Graduation rates and race.  </w:t>
      </w:r>
      <w:r w:rsidRPr="003C34B7">
        <w:rPr>
          <w:rFonts w:ascii="Times New Roman" w:eastAsia="Times New Roman" w:hAnsi="Times New Roman" w:cs="Times New Roman"/>
          <w:i/>
          <w:iCs/>
          <w:color w:val="000000"/>
          <w:szCs w:val="20"/>
        </w:rPr>
        <w:t xml:space="preserve">Inside Higher Ed.  </w:t>
      </w:r>
      <w:r w:rsidRPr="003C34B7">
        <w:rPr>
          <w:rFonts w:ascii="Times New Roman" w:eastAsia="Times New Roman" w:hAnsi="Times New Roman" w:cs="Times New Roman"/>
          <w:color w:val="000000"/>
          <w:szCs w:val="20"/>
        </w:rPr>
        <w:t xml:space="preserve">Retrieved from: </w:t>
      </w:r>
      <w:hyperlink r:id="rId9" w:history="1">
        <w:r w:rsidRPr="003C34B7">
          <w:rPr>
            <w:rFonts w:ascii="Times New Roman" w:eastAsia="Times New Roman" w:hAnsi="Times New Roman" w:cs="Times New Roman"/>
            <w:color w:val="0000FF"/>
            <w:u w:val="single"/>
          </w:rPr>
          <w:t>https://www.insidehighered.com/news/2017/04/26/college-completion-rates-vary-race-and-ethnicity-report-finds</w:t>
        </w:r>
      </w:hyperlink>
    </w:p>
    <w:sectPr w:rsidR="00362848" w:rsidRPr="003C34B7" w:rsidSect="003C34B7">
      <w:headerReference w:type="even" r:id="rId10"/>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5DB6" w:rsidRDefault="007B5DB6" w:rsidP="00362848">
      <w:r>
        <w:separator/>
      </w:r>
    </w:p>
  </w:endnote>
  <w:endnote w:type="continuationSeparator" w:id="0">
    <w:p w:rsidR="007B5DB6" w:rsidRDefault="007B5DB6" w:rsidP="003628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inherit">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5DB6" w:rsidRDefault="007B5DB6" w:rsidP="00362848">
      <w:r>
        <w:separator/>
      </w:r>
    </w:p>
  </w:footnote>
  <w:footnote w:type="continuationSeparator" w:id="0">
    <w:p w:rsidR="007B5DB6" w:rsidRDefault="007B5DB6" w:rsidP="003628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25154877"/>
      <w:docPartObj>
        <w:docPartGallery w:val="Page Numbers (Top of Page)"/>
        <w:docPartUnique/>
      </w:docPartObj>
    </w:sdtPr>
    <w:sdtContent>
      <w:p w:rsidR="00362848" w:rsidRDefault="00362848" w:rsidP="00CF3FA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62848" w:rsidRDefault="00362848" w:rsidP="0036284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24708205"/>
      <w:docPartObj>
        <w:docPartGallery w:val="Page Numbers (Top of Page)"/>
        <w:docPartUnique/>
      </w:docPartObj>
    </w:sdtPr>
    <w:sdtContent>
      <w:p w:rsidR="00362848" w:rsidRDefault="00362848" w:rsidP="00CF3FA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3C34B7" w:rsidRPr="00362848" w:rsidRDefault="003C34B7" w:rsidP="00362848">
    <w:pPr>
      <w:pStyle w:val="Header"/>
      <w:ind w:right="360"/>
      <w:rPr>
        <w:rFonts w:ascii="Times New Roman" w:hAnsi="Times New Roman" w:cs="Times New Roman"/>
      </w:rPr>
    </w:pPr>
    <w:r>
      <w:rPr>
        <w:rFonts w:ascii="Times New Roman" w:hAnsi="Times New Roman" w:cs="Times New Roman"/>
      </w:rPr>
      <w:t>University-Level Data Analysis: Phase 1</w:t>
    </w:r>
  </w:p>
  <w:p w:rsidR="00362848" w:rsidRPr="00362848" w:rsidRDefault="00362848">
    <w:pPr>
      <w:pStyle w:val="Header"/>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53918219"/>
      <w:docPartObj>
        <w:docPartGallery w:val="Page Numbers (Top of Page)"/>
        <w:docPartUnique/>
      </w:docPartObj>
    </w:sdtPr>
    <w:sdtContent>
      <w:p w:rsidR="00362848" w:rsidRDefault="00362848" w:rsidP="00CF3FA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362848" w:rsidRDefault="00362848" w:rsidP="00362848">
    <w:pPr>
      <w:pStyle w:val="Header"/>
      <w:ind w:right="360"/>
    </w:pPr>
    <w:r>
      <w:t>Running Head: PHASE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F3CCF"/>
    <w:multiLevelType w:val="multilevel"/>
    <w:tmpl w:val="1494C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ABE2723"/>
    <w:multiLevelType w:val="multilevel"/>
    <w:tmpl w:val="6BF62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848"/>
    <w:rsid w:val="00105EA7"/>
    <w:rsid w:val="0028233E"/>
    <w:rsid w:val="00362848"/>
    <w:rsid w:val="003C34B7"/>
    <w:rsid w:val="004B33A3"/>
    <w:rsid w:val="005311C0"/>
    <w:rsid w:val="00621599"/>
    <w:rsid w:val="007B5DB6"/>
    <w:rsid w:val="00A77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0AE3A"/>
  <w15:chartTrackingRefBased/>
  <w15:docId w15:val="{AF44C974-F011-2740-9D37-1431D3B44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2848"/>
    <w:pPr>
      <w:tabs>
        <w:tab w:val="center" w:pos="4680"/>
        <w:tab w:val="right" w:pos="9360"/>
      </w:tabs>
    </w:pPr>
  </w:style>
  <w:style w:type="character" w:customStyle="1" w:styleId="HeaderChar">
    <w:name w:val="Header Char"/>
    <w:basedOn w:val="DefaultParagraphFont"/>
    <w:link w:val="Header"/>
    <w:uiPriority w:val="99"/>
    <w:rsid w:val="00362848"/>
  </w:style>
  <w:style w:type="paragraph" w:styleId="Footer">
    <w:name w:val="footer"/>
    <w:basedOn w:val="Normal"/>
    <w:link w:val="FooterChar"/>
    <w:uiPriority w:val="99"/>
    <w:unhideWhenUsed/>
    <w:rsid w:val="00362848"/>
    <w:pPr>
      <w:tabs>
        <w:tab w:val="center" w:pos="4680"/>
        <w:tab w:val="right" w:pos="9360"/>
      </w:tabs>
    </w:pPr>
  </w:style>
  <w:style w:type="character" w:customStyle="1" w:styleId="FooterChar">
    <w:name w:val="Footer Char"/>
    <w:basedOn w:val="DefaultParagraphFont"/>
    <w:link w:val="Footer"/>
    <w:uiPriority w:val="99"/>
    <w:rsid w:val="00362848"/>
  </w:style>
  <w:style w:type="character" w:styleId="PageNumber">
    <w:name w:val="page number"/>
    <w:basedOn w:val="DefaultParagraphFont"/>
    <w:uiPriority w:val="99"/>
    <w:semiHidden/>
    <w:unhideWhenUsed/>
    <w:rsid w:val="00362848"/>
  </w:style>
  <w:style w:type="character" w:styleId="Hyperlink">
    <w:name w:val="Hyperlink"/>
    <w:basedOn w:val="DefaultParagraphFont"/>
    <w:uiPriority w:val="99"/>
    <w:unhideWhenUsed/>
    <w:rsid w:val="003C34B7"/>
    <w:rPr>
      <w:color w:val="0000FF"/>
      <w:u w:val="single"/>
    </w:rPr>
  </w:style>
  <w:style w:type="character" w:styleId="UnresolvedMention">
    <w:name w:val="Unresolved Mention"/>
    <w:basedOn w:val="DefaultParagraphFont"/>
    <w:uiPriority w:val="99"/>
    <w:semiHidden/>
    <w:unhideWhenUsed/>
    <w:rsid w:val="003C34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006845">
      <w:bodyDiv w:val="1"/>
      <w:marLeft w:val="0"/>
      <w:marRight w:val="0"/>
      <w:marTop w:val="0"/>
      <w:marBottom w:val="0"/>
      <w:divBdr>
        <w:top w:val="none" w:sz="0" w:space="0" w:color="auto"/>
        <w:left w:val="none" w:sz="0" w:space="0" w:color="auto"/>
        <w:bottom w:val="none" w:sz="0" w:space="0" w:color="auto"/>
        <w:right w:val="none" w:sz="0" w:space="0" w:color="auto"/>
      </w:divBdr>
    </w:div>
    <w:div w:id="584806638">
      <w:bodyDiv w:val="1"/>
      <w:marLeft w:val="0"/>
      <w:marRight w:val="0"/>
      <w:marTop w:val="0"/>
      <w:marBottom w:val="0"/>
      <w:divBdr>
        <w:top w:val="none" w:sz="0" w:space="0" w:color="auto"/>
        <w:left w:val="none" w:sz="0" w:space="0" w:color="auto"/>
        <w:bottom w:val="none" w:sz="0" w:space="0" w:color="auto"/>
        <w:right w:val="none" w:sz="0" w:space="0" w:color="auto"/>
      </w:divBdr>
    </w:div>
    <w:div w:id="804158030">
      <w:bodyDiv w:val="1"/>
      <w:marLeft w:val="0"/>
      <w:marRight w:val="0"/>
      <w:marTop w:val="0"/>
      <w:marBottom w:val="0"/>
      <w:divBdr>
        <w:top w:val="none" w:sz="0" w:space="0" w:color="auto"/>
        <w:left w:val="none" w:sz="0" w:space="0" w:color="auto"/>
        <w:bottom w:val="none" w:sz="0" w:space="0" w:color="auto"/>
        <w:right w:val="none" w:sz="0" w:space="0" w:color="auto"/>
      </w:divBdr>
    </w:div>
    <w:div w:id="924799352">
      <w:bodyDiv w:val="1"/>
      <w:marLeft w:val="0"/>
      <w:marRight w:val="0"/>
      <w:marTop w:val="0"/>
      <w:marBottom w:val="0"/>
      <w:divBdr>
        <w:top w:val="none" w:sz="0" w:space="0" w:color="auto"/>
        <w:left w:val="none" w:sz="0" w:space="0" w:color="auto"/>
        <w:bottom w:val="none" w:sz="0" w:space="0" w:color="auto"/>
        <w:right w:val="none" w:sz="0" w:space="0" w:color="auto"/>
      </w:divBdr>
    </w:div>
    <w:div w:id="122749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shingtonpost.com/opinions/no-child-has-failed/2015/02/13/8d619026-b2f8-11e4-827f-93f454140e2b_story.html?noredirect=on&amp;utm_term=.7e8d64bb929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epa.stanford.edu/educational-opportunity-monitoring-project/achievement-gaps/rac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nsidehighered.com/news/2017/04/26/college-completion-rates-vary-race-and-ethnicity-report-find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286</TotalTime>
  <Pages>8</Pages>
  <Words>2030</Words>
  <Characters>11574</Characters>
  <Application>Microsoft Office Word</Application>
  <DocSecurity>0</DocSecurity>
  <Lines>96</Lines>
  <Paragraphs>27</Paragraphs>
  <ScaleCrop>false</ScaleCrop>
  <Company/>
  <LinksUpToDate>false</LinksUpToDate>
  <CharactersWithSpaces>13577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6</cp:revision>
  <dcterms:created xsi:type="dcterms:W3CDTF">2019-07-07T14:03:00Z</dcterms:created>
  <dcterms:modified xsi:type="dcterms:W3CDTF">2019-07-07T20:50:00Z</dcterms:modified>
</cp:coreProperties>
</file>